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EA6" w:rsidRDefault="00CF0EA6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  <w:bookmarkStart w:id="0" w:name="_Hlk113627086"/>
      <w:bookmarkStart w:id="1" w:name="_Hlk81818730"/>
    </w:p>
    <w:tbl>
      <w:tblPr>
        <w:tblW w:w="11400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11400"/>
      </w:tblGrid>
      <w:tr w:rsidR="00CF0EA6">
        <w:trPr>
          <w:trHeight w:val="34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EA6" w:rsidRDefault="008F5AC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en-GB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  <w:t xml:space="preserve">ԼՈՏ  </w:t>
            </w:r>
            <w:r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en-GB"/>
              </w:rPr>
              <w:t>1</w:t>
            </w:r>
          </w:p>
        </w:tc>
      </w:tr>
      <w:tr w:rsidR="00CF0EA6">
        <w:trPr>
          <w:trHeight w:val="34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EA6" w:rsidRDefault="008F5AC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  <w:t>Տեխնիկական բնութագիր</w:t>
            </w:r>
          </w:p>
          <w:p w:rsidR="00CF0EA6" w:rsidRDefault="008F5AC8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lang w:val="hy-AM"/>
              </w:rPr>
            </w:pPr>
            <w:r>
              <w:rPr>
                <w:rFonts w:ascii="GHEA Grapalat" w:hAnsi="GHEA Grapalat"/>
                <w:b/>
                <w:noProof/>
                <w:lang w:val="en-GB"/>
              </w:rPr>
              <w:t>Կ</w:t>
            </w:r>
            <w:r>
              <w:rPr>
                <w:rFonts w:ascii="GHEA Grapalat" w:hAnsi="GHEA Grapalat"/>
                <w:b/>
                <w:noProof/>
                <w:lang w:val="hy-AM"/>
              </w:rPr>
              <w:t>ենցաղային</w:t>
            </w:r>
            <w:r>
              <w:rPr>
                <w:rFonts w:ascii="GHEA Grapalat" w:hAnsi="GHEA Grapalat"/>
                <w:b/>
                <w:noProof/>
                <w:lang w:val="en-GB"/>
              </w:rPr>
              <w:t xml:space="preserve"> </w:t>
            </w:r>
            <w:r>
              <w:rPr>
                <w:rFonts w:ascii="GHEA Grapalat" w:hAnsi="GHEA Grapalat"/>
                <w:b/>
                <w:noProof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noProof/>
                <w:lang w:val="hy-AM"/>
              </w:rPr>
              <w:t>իրերի</w:t>
            </w:r>
            <w:r>
              <w:rPr>
                <w:rFonts w:ascii="GHEA Grapalat" w:hAnsi="GHEA Grapalat"/>
                <w:b/>
                <w:noProof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noProof/>
                <w:lang w:val="hy-AM"/>
              </w:rPr>
              <w:t>և</w:t>
            </w:r>
            <w:r>
              <w:rPr>
                <w:rFonts w:ascii="GHEA Grapalat" w:hAnsi="GHEA Grapalat"/>
                <w:b/>
                <w:noProof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noProof/>
                <w:lang w:val="hy-AM"/>
              </w:rPr>
              <w:t>առաջին</w:t>
            </w:r>
            <w:r>
              <w:rPr>
                <w:rFonts w:ascii="GHEA Grapalat" w:hAnsi="GHEA Grapalat"/>
                <w:b/>
                <w:noProof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noProof/>
                <w:lang w:val="hy-AM"/>
              </w:rPr>
              <w:t>օգնության</w:t>
            </w:r>
            <w:r>
              <w:rPr>
                <w:rFonts w:ascii="GHEA Grapalat" w:hAnsi="GHEA Grapalat"/>
                <w:b/>
                <w:noProof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noProof/>
                <w:lang w:val="hy-AM"/>
              </w:rPr>
              <w:t>միջոցների</w:t>
            </w:r>
          </w:p>
          <w:p w:rsidR="00CF0EA6" w:rsidRDefault="00CF0EA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</w:p>
        </w:tc>
      </w:tr>
      <w:tr w:rsidR="00CF0EA6">
        <w:trPr>
          <w:trHeight w:val="810"/>
        </w:trPr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EA6" w:rsidRDefault="00CF0EA6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lang w:val="hy-AM"/>
              </w:rPr>
            </w:pPr>
          </w:p>
          <w:tbl>
            <w:tblPr>
              <w:tblW w:w="10771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1440"/>
              <w:gridCol w:w="1530"/>
              <w:gridCol w:w="4360"/>
              <w:gridCol w:w="716"/>
              <w:gridCol w:w="819"/>
              <w:gridCol w:w="1371"/>
            </w:tblGrid>
            <w:tr w:rsidR="00CF0EA6">
              <w:trPr>
                <w:trHeight w:val="908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Հ/հ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Ապրանքի անվանումը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 xml:space="preserve">Նախա-գծային կոդը կամ սենքի անվանումը 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Նկարագիրը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Չ\Մ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Քանակը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Ընդամենը  / առանց ԱԱՀ</w:t>
                  </w:r>
                </w:p>
              </w:tc>
            </w:tr>
            <w:tr w:rsidR="00CF0EA6">
              <w:trPr>
                <w:trHeight w:val="96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Թղթե սրբիչ կախելու ձող (ոչ փայլուն, մատ)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Մ1/Ս1-01/01 Մ1/Ս2-02/02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Մ1/Ս4-04/04 Մ1/Ս5-05/05 Մ1/Ս-6-06/06 Մ1/Ս-8-08/08   Մ1/Ս-9-09/09 Մ1/Ս-10-10/10 Մ1/Ս-12-12/12 Մ1/Ս-13-13/13 Մ1/Ս-14-14/14 Մ2/Ս1-01/01 Մ2/Ս2-02/02 Մ2/Ս4-04/04 Մ2/Ս5-05/05 Մ2/Ս-6-06/06 Մ2/Ս-8-08/08   Մ2/Ս-9-09/09 Մ2/Ս-10-10/10 Մ2/Ս-12-12/12 Մ2/Ս-13-13/13 Մ2/Ս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-14-14/14 Մ3/Ս1-01/01 Մ3/Ս3-03/03 Մ3/Ս7-07/07 Մ3/Ս8-08/08 Մ3/Ս9-09/09 Մ3/Ս10-10/10 Մ3/Ս11-11/11 Մ3/Ս13-13/13 Մ3/Ս16-16/16 Մ3/Ս17-17/17 Նկուղ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• Մակերես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ոչ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փայլուն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),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հարթ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միատեսակ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մշակմամբ, քերծվածքներին և մաշվածքին 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Նյութ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Բարձրորակ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չժանգոտվող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պողպատ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նախընտրելի՝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stainless steel 304)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բարձր ամրության հակակոռոզիոն մետաղ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Գույն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մետալիկ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/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համաձայնեցնել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պատվիրատուի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Չափս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Ձողի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երկարությունը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40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հարմար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կե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նցաղային թղթե սրբիչների գլանակների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Կառուցվածք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Ամուր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դեֆորմացիայի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չենթարկվող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կառուցվածք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նախատեսված երկարաժամկետ ինտենսիվ օգտագործման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Ամրացում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վրա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ամրացվող՝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պտուտակներով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թաքնված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ամրացման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համակարգով, ապահով և հուսալի ֆիքսացիայով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Հարմար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խոհանոցային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սանհանգույցային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յմաններում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օգտագործման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Խոնավակայուն և հակակոռոզիոն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Չժանգոտվող և հեշտ մաքրվող մակերես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Բարձր մաշվածադիմացկունություն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Մեխանիկական վնասվածքների նկատմամբ 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Երկարաժամկետ օգտագործման համար նախատեսված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Արտադրանքը պետք է լինի նոր, գործարանային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արտադրության, առանց թերությունների և վնասվածքների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Պետք է ապահովի հուսալի և անվտանգ շահագործում առօրյա օգտագործման պայմաններում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38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785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Ափսե ճաշի խորը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Ափսեներ ապուրի - Ապուրի ափսե 400-500մլ ոչ ավել, հախճապակե, գույնը՝ սպիտակ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կամ կաթնագույն, միագույն, առանց նախշերի, ԳՕՍՏ 25185-93-ի չափորոշիչներին համապատասխան: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Ապրանքը պետք է ունենա արտադրողի մակնշում: Ձևը կլոր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61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Ափսե մեծ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Ափսեներ - Ափսե հախճապակուց, 25-27սմ տրամագծով, խորությունը 6մմ, եզրը ոչ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ավել 3սմ: Գույնը՝ սպիտակ կամ կաթնագույն, միագույն, առանց նախշերի, ԳՕՍՏ 25185-93-ի չափորոշիչներին համապատասխան:  Ձևը կլոր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8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Ափսե փոքր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Ափսե կլոր։ Պատրաստված բարձրորակ կերամիկայից, գույնը՝ սպիտակ, բարձր-ությունը՝ 1-1.5 սմ, տրամագիծը՝ 15-16 սմ։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89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Ափսե դեսերտի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Ափսե կլոր։ Պատրաստված բարձրորակ կերամիկայից, գույնը՝ սպիտակ, բարձր-ությունը՝ 1-1.5 սմ, տրամագիծը՝ 16-18 սմ։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24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Բաժակ թեյի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Բաժակներ - Բաժակ՝ պոչով, հախճապակե, տարողությունը 250մլ, կոթի երկարությունը առնվազն 60մմ, ԳՕՍՏ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25185-93-ի չափորոշիչներին համապատասխան: Գույնը՝ սպիտակ կամ կաթնագույն, միագույն, առանց նախշերի: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Ապրանքը պետք է ունենա արտադրողի մակնշում: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07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Բաժակ սուրճի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Բարձրությունը՝ 6 սմ, տրամագիծը՝ 6.8 սմ: Գույնը սպիտակ կամ բաց երանգ ու միագույն: Կերամիկական, բռնակով: Տարողությունը՝ 100 մլ: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11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Բաժակ ջրի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Ապակե բաժակ առանց նախշերի: Տարողությունը 200-250մլ: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4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Պատառաքաղ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համապատասխան, արծաթագույն: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Ապրանքի վրա մակնշված (ոչ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սոսնձային տարբերակով) 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97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Պատառաքաղ դեսերտի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Պատառաքաղեր - Պատառաքաղ սեղանի, ատամիկները 4 հատ, երկարությունը` ոչ պակաս 100մմ, հաստությունը 2մմ, սննդային չժանգոտվող պողպատից, արծաթագույն: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Ապրանքի վրա մակնշված (ոչ սոսնձային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տարբերակով):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8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Դանակ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Դանակ՝ մետաղե, արծաթագույն  ոչ պակաս 200մմ, հաստությունը 2մմ, սննդային չժանգոտվող պողպատից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07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Դանակ դեսերտի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Դանակ դեսերտի՝ մետաղե, արծաթագույն, երկարությունը` ոչ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պակաս 100մմ, հաստությունը 2մմ, սննդային չժանգոտվող պողպատից,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88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Գդալ ճաշի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43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Գդալ սուրճի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Գդալներ - Փոքր գդալ, սննդային չժանգոտվող պողպատից, երկարությունը ոչ պակաս 100մմ, հաստությունը 2 մմ, աշխատող մասի խորությունը 0.25մմ, եզրերը հարթեցված, փայեցված։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24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Խոհանոցային դանակ հացի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Դանակ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հացի` մետաղը ՈՒ8Ա կամ ՈՒ10Ա, երկարությունը 395-405մմ, կտրող սայրի երկարությունը 295-305մմ, լայնությունը 100-110մմ, հաստությունը 1,5-2մմ։ Բռնակը պոլիպռոպիլեն կամ պոլիստիրոլ կամ դրան համարժեք, ամրացված 3 հատ ոչ պակաս 5մմ հաստության գամերով։ Դանակի սայրը հավա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սարաչափ սրված: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Գրտնակ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Գրտնակի գլխիկի չափերը՝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35X 5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նյութը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փայտե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Շերեփ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Շերեփ 250-500մլ ալյումինե կամ սննդային չժանգոտվող պողպատից:E66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421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Տախտակ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Մ1/Ս-6-06/06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Տախտակ մթերք կտրատելու համար պոլիպռոպիլեն, պոլիստիրոլ  կամ համարժեք,  երկարությունը ոչ պակաս 410մմ, լայնությունը ոչ պակաս 270մմ, հաստությունը ոչ պակաս 10մմ։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16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Սկուտեղ փոքր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Հումքը բամբուկից կամ պլաստմասից,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ուղղանկյունաձև,  գույնը սև, սպիտակ, մոխրագույն: Չափսը՝ 35X27: Մակերևույթը չսահող: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73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Կաթսա փոքր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Կաթսա կափարիչով 5 լիտր տարողությամբ ալյումինե կամ սննդային չժանգոտվող պողպատից, ԳՕՍՏ 17151-81 և ԳՕՍՏ 27002-2020-ի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չափորոշիչներին համապատասխան։ Տարողությունը ոչ պակաս 5լիտրից, տրամագիծը Ф 220 մմ, բարձրությունը 220-225մմ, մետաղի հաստությունը 2,5մմ, երկու բռնակով։ Բռնակը կաթսային պետք է միանա 4 գամերով, յուրաքանչյուր կողմից 2 գամ, բռնակի հաստությունը ոչ պակաս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Ф10մմ, կափա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րիչը նույնպես բռնակով։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43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Թավա փոքր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Գրանիտե ծածկույթով թավա: Քաշը՝ մինչև 1 կգ, ծավալը`1-2 լիտր, տրամագիծը` 15սմ, բարձրությունը` մինչև 7 սմ, բռնակները` պլաստմասե: Կափարիչը՝ ապակի սիլիկոնե ժապավենով: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53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Թաս միջին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Թաս տարողությունը 3լ.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Պլաստմասե սննդային, միագույն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Հացաման սեղանի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Օվալաձև կամ կլոր ծղոտե շագանակագույն: Տրամագիծը մինչև 25 սմ: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61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Աղաման, պղպեղաման, ատամի փայտիկների բաժակ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Ճենապակե տարաներ նախատեսված համեմունքների համար: Հավաքածուն ներառում է՝ աղաման, պղպեղաման, ատամի փայտիկների համար նախատեսված բաժակ,ընդհանուր տակդիրով: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Ջրի սափոր ապակյա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Ապակյա սափոր առանց պատկերների 2 լ տարողությամբ: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8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Սննդի համար տարա 5 լ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Տարա 5լ տարողությամբ, պլաստիկ, սննդային: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504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Ներքնակի երես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Ներքնակի երես (մատրասի պաշտպանիչ)՝ նախատեսված 1000×2000 մմ (100×200 սմ) չափսի անկողնու համար, պատրաստված 100% բամբակ, պոլիեսթեր կամ բամբակ-պոլիեսթեր խառնուրդից՝ ներսում պոլիուրեթանային (PU) ջրակայուն շերտով, միջինից բարձր խտության գործվածքով, ջրապաշտպան և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շնչող կառուցվածքով, հակաբակտերիալ և հակաալերգիկ հատկություններով, փոշու տզերից պաշտպանող, առաձգական եզրերով (ռեզինե ամրացմամբ)՝ ներքնակին ամուր ֆիքսման համար, ամուր կրկնակի կարերով, հեշտ խնամքի և մեքենայով լվացվող (30–60°C), արագ չորացող և բազմակի լվացումն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երի նկատմամբ դիմացկուն, սպիտակ կամ բաց գույնի, հիպոալերգիկ և մաշկին անվտանգ նյութերից պատրաստված, երկարաժամկետ օգտագործման համար նախատեսված՝ ապահովելով ներքնակի հիգիենիկ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պաշտպանություն։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8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Սպիտակեղենի հավաքածու/սավան, ծրար, բարձի երես/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Սպիտակեղենի կոմպլեկտ՝ մեկտեղանոց մահճակալի համար (2000×1000 մմ), ներառյալ սավան, վերմակի ծրար և բարձի երես, պատրաստված 100% բամբակ կամ բարձրորակ հիպոալերգիկ գործվածքից, գործվածքի խտությունը՝ առնվազն 120–140 գ/մ², մաշկին հաճելի, շն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չող, հեշտ լվացվող և արագ չորացող նյութով, նախատեսված առօրյա և ինտենսիվ օգտագործման համար, սավանը՝ համապատասխան 200×100 սմ մահճակալի համար, վերմակի ծրարը՝ մեկտեղանոց ստանդարտ վերմակի չափերին համապատասխան, բարձի երեսը՝ առնվազն 50×70 սմ, ամուր և որակյալ կարեր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ով, բազմակի լվացումների նկատմամբ դիմացկուն, երկարաժամկետ օգտագործման համար նախատեսված, բաց կամ չեզոք գույներով՝ ըստ պատվիրատուի համաձայնեցման, ապահովելով արտադրական թերությունների բացակայություն և որակի համապատասխանություն։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  <w:t>հավաքածու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4365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Բարձ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• Տեսակ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Քնելու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Չափս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50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×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70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Լցանյութ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Հիպոալերգիկ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սինթետիկ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մանրաթել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բարձրորակ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այլ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լցանյութ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Արտաքին նյութ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Փափուկ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շնչող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մաշկին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հաճելի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գործվածք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բամբակ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միկրոֆիբր)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Կարծրություն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Միջին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փափկության՝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հարմարավե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 և օրթոպեդիկ աջակցության ապահովմամբ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Հատկություններ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Հակաալերգիկ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օդաթափանց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ձևը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պահպանող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Խնամք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Լվացվող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հեշտ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մաքրվող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Առօրյա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երկարաժամկետ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օգտագործման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բազմակի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լվացումների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նկատմամբ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երկարաժամկետ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օգտագործման համար նախատեսված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Անվտանգություն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Անվնաս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հիգիենիկ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նյութերից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պատրաստված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Երաշխիք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Արտադրական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թերությունների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բացակայություն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որակի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համապատասխանություն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825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Ծածկոց ամառային վերմակ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Ամառային վերմակ (ծածկոց)՝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նախատեսված 200×100 սմ մեկտեղանոց մահճակալի համար, պատրաստված թեթև, շնչող և հիպոալերգիկ բամբակյա, միկրոֆիբր կամ համարժեք գործվածքից, լցված թեթև սինթետիկ մանրաթելով կամ բամբակյա լցանյութով, ապահովելով օդաթափանցություն, մաշկին հաճելի և փափուկ զգացողություն, 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նչպես նաև ջերմաստիճանի հավասարակշռություն ամառային օգտագործման համար, թեթև քաշով, հեշտ լվացվող և արագ չորացող, ամուր և որակյալ կարերով, բաց կամ չեզոք գույներով՝ ըստ պատվիրատուի համաձայնեցման, նախատեսված առօրյա և ինտենսիվ օգտագործման համար, դիմացկուն բազմակ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ի լվացումների նկատմամբ, երկարաժամկետ օգտագործման և հիգիենիկ, անվտանգ նյութերից պատրաստված։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96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31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Մահճակալի ծածկոց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Մահճակալի ծածկոց՝ նախատեսված 200×100 սմ մեկտեղանոց մահճակալի համար, պատրաստված բարձրորակ բամբակյա, միկրոֆիբր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կամ համարժեք դիմացկուն գործվածքից, փափուկ, մաշկին հաճելի, շնչող և մաշվածակայուն կառուցվածքով, ժամանակակից և կոկիկ դիզայնով՝ ինտերիերին համապատասխան, բաց կամ չեզոք գույներով՝ ըստ պատվիրատուի համաձայնեցման, ամուր և որակյալ կարերով, հեշտ խնամքի և լվացվող (արա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գ չորացող) հատկություններով, նախատեսված առօրյա և ինտենսիվ օգտագործման համար, դիմացկուն բազմակի լվացումների նկատմամբ, երկարաժամկետ օգտագործման համար նախատեսված, հիպոալերգիկ և անվտանգ նյութերից պատրաստված։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735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Սրբիչ բաղնիքի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• Տեսակ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Բաղնիքի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սրբիչ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Նյութ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100%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բամբակ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բարձրորակ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հիպոալերգիկ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գործվածք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Չափս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70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×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140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Խտություն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450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–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600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/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Հատկություններ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Փափուկ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ներծծողունակությամբ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մաշկին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հաճելի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շնչող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Գույն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չեզոք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գույներ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համաձայնեցնել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պատվիրատուի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Կարեր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Ամուր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որակյալ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մշակմամբ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Խնամք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Լվացվող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հեշտ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մաքրվող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արագ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չորացող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Առօրյա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ինտենսիվ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օգտագործման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բազմակի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լվացումների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նկատմամբ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երկարա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ժամկետ օգտագործման համար նախատեսվ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Անվտանգություն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Հիպոալերգիկ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անվտանգ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նյութերից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պատրաստվա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ծ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43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Սրբիչ դեմքի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• Տեսակ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Դեմքի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սրբիչ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Նյութ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100%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բամբակ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բարձրորակ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հիպոալերգիկ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գործվածք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Չափս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40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×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70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Խտություն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400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–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500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/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•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Հատկություններ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Փափուկ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ներծծողունակությամբ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մաշկին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հաճելի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Գույն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չեզոք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գույներ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համաձայնեցնել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պատվիրատուի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Կարեր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Ամուր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որակյալ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մշակմամբ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Խնամք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Լվացվող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հեշտ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մաքրվող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րագ չորացող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Առօրյա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ինտենսիվ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օգտագործման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բազմակի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լվացումների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նկատմամբ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երկարաժամկետ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օգտագործման համար նախատեսված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Անվտանգություն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Հիպոալերգիկ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անվտանգ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նյութերից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պատրաստվա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ծ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6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45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34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Սփռոց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Սփռոց՝ նախատեսված 600×1200 մմ սեղանի համար,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պատրաստված պոլիեսթեր, բամբակ կամ բամբակ-պոլիեսթեր խառը գործվածքից՝ ըստ պատվիրատուի պահանջի, միջին կամ բարձր խտության կառուցվածքով, դիմացկուն և երկարաժամկետ օգտագործման համար նախատեսված, բիծակայուն կամ ջրակայուն մակերեսով (ըստ մոդելի), գույնի բարձր կայունու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թյամբ, պարզ, տպված կամ դեկորատիվ տարբերակներով՝ ըստ համաձայնեցման, ամուր եզրային մշակմամբ (overlock կամ կրկնակի կարում), հեշտ խնամքի և մեքենայով լվացվող, արագ չորացող, նախատեսված առօրյա և ինտերիերային օգտագործման համար, մաշկին անվտանգ և ոչ թունավոր ներկանյ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ութերով մշակված նյութերից պատրաստված։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177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Զամբյուղ պլաստմասե կափարիչով լվացքի շորերի համար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Լվացքի զամբյուղ հյուսվածքի իմիտացիայով, թույլ է տալիս օդը լավ շրջանառվել: Զամբյուղի ծավալը ՝ 50 լիտր։  Ապրանքը հագեցած է հարմարավետ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բռնակներով ՝ տեղափոխելու համար: Նյութը բարձրորակ պոլիպրոպիլենից: ՝ հուսալի և ամուր նյութից : Գույնը բեժ կամ բաց մոխրագույն: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61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Վարագույր- խիտ վարագույրային գործվածք-3,5 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թափանցիկ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շղարշ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7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Քիվ (խիտ վարագույրային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գործվածք)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Քանակ՝ 3.5 մետր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Նյութ՝ խիտ գործվածք (օր.՝ պոլիեսթեր կամ խառնվածք)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Խտություն՝ ոչ պակաս քան 200–300 գ/մ²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Գործառույթ՝ լուսամեկուսացում, մասնակի ստվերացում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Գույն՝ ըստ համաձայնեցման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Թափանցիկ շղարշ (տուլ / շիֆոն)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Քանակ՝ 7 մետր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Նյութ՝ թափանցիկ թեթև գործ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վածք (պոլիեսթեր շղարշ)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Խտություն՝ մոտ 40–80 գ/մ²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Գործառույթ՝ բնական լույսի անցկացման ապահովում, դեկորատիվ շերտ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Գույն՝ սպիտակ կամ բաց երանգ (ըստ պահանջի)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2. Ընդհանուր պահանջներ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Գործվածքը պետք է լինի որակյալ, չթուլացող և չգունաթափվող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Կարումը՝ ուղիղ, ամուր, 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րդյունաբերական մշակմամբ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Եզրերի մշակումը՝ ավարտված (օվերլոկ կամ ծալքակար)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Համապատասխանություն ներքին ինտերիերի օգտագործման համար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հավաքածու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78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37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Մեխանիկական տոնոմետր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A&amp;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D UA-100 մեխանիկական պրոֆեսիոնալ տոնոմետրը նախատեսված է սիստոլիկ (վերին) և դիաստոլիկ (ստորին) ճնշումը չափելու համար: Սարքը հագեցած է ստանդարտ մանժետով (չափը՝ 22-32 սմ), ներկառուցված ստետոսկոպով։ Ներառում է • ներկառուցված ստետոսկոպ • ստանդարտ մանժետ (չափը՝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22-32 սմ) • մանոմետր • տանձիկ • փական • հավաքածուն պահելու համար նախատեսված պարկ 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05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38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Ավտոմատ տոնոմետր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Արյան զարկերակային ճնշման թվային ավտոմատ AND UA-888 տոնոմետրը նախատեսված է ինչպես տանը, այնպես էլ բժշկական հաստատություններում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օգտագործելու համար: Ներառում է • միացման/անջատման կոճակ • թվային էկրան • մանժետ • 4 նոր AA, LR6 մարտկոց, որը կատարոմ է մոտ 2000 չափում • ձայնային ազդանշան • հավաքածուն պահելու համար նախատեսված պարկ • հոսանքի ատապտոր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4515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39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Բժշկական էլեկտրոնային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(թվային) ջերմաչափ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Էլեկտրոնային ջերմաչափը նախատեսված է մարդու մարմնի ջերմաստիճանի անվտանգ, ճշգրիտ և արագ չափման համար: Այն կարող է օգտագործվել ինչպես բուժհաստատություններում, այնպես էլ տնային պայմաններում: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Ջերմաստիճանի չափումը այս ջերմաչափի միջոցով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կարող է իրականացվել երեք եղանակով՝ ռեկտալ (հետանցքային), օրալ (բերանի խոռոչում) կամ աքսիլյար (թևատակում):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Չափման նվազագույն ժամանակը տատանվում է՝ կախված ընտրված եղանակից: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- Ռեկտալ չափում. մոտ 10 վայրկյան: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- Օրալ չափում. մոտ 20 վայրկյան: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- Թևատակում չափում.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մոտ 25 վայրկյան: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43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Գալիումով  ջերմաչափ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Տեսակ՝ կլինիկական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Չափման միջակայք՝ 35°C – 42°C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Ճշգրտություն՝ ±0.1°C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Օգտագործում՝ առանց մարտկոցի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Ապակե կորպուսով, բժշկական ստանդարտ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05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41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Հեռահար ջերմաչափ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Տեսակ՝ առանց շփման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ինֆրակարմիր ջերմաչափ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Չափման եղանակ՝ ճակատային, հեռահար (մինչև ~5 սմ)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Չափման ժամանակ՝ մի քանի վայրկյան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Ֆունկցիա՝ մարմին / առարկա / միջավայր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Հիշողություն՝ մինչև 30 չափում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Ցուցիչներ՝ լուսային և ձայնային ազդանշաններ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Էկրան՝ թվային, լուսավորված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Էլեկտրասնուցում՝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մարտկոցներով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4031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Բժշկական լարան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Միանգամյա օգտագործման բժշկական լարան (ժգուտ), պատրաստված TPE նյութից՝ կետավոր մակերեսով, նախատեսված է երակների սեղմման և արյան նմուշառման գործընթացների ընթացքում կիրառման համար։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Չի պարունակում լատեքս,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հիպոալերգիկ է և անվտանգ է մաշկի հետ շփման դեպքում։ Լարանը ունի բարձր էլաստիկություն և ապահովում է հուսալի ֆիքսում բժշկական մանիպուլյացիաների ընթացքում։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Յուրաքանչյուր տուփ պարունակում է՝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25 հատ նախապես կտրված լարան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Չափսեր՝ 45 × 2.5 սմ (45 × 2.5 cm)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Հաստությ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ուն՝ 0.636 մմ (0.636 mm)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տուփ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827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43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Ասեղնաբռնիչ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Ասեղաբռնիչ MAYO HEGAR Չժանգոտվող պողպատից. 14սմ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14սմ,16սմ,18սմ,20սմ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02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44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Ներարկիչներ ասեղով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Ներարկիչ մ/կ 5մլ ասեղով 0.8 x 40մմ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Ներարկիչներ ասեղով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Ներարկիչ մ/կ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10մլ ասեղով 0,8 x 40մմ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46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Ներարկիչն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cr/>
                    <w:t>ր ասեղով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Ներարկիչ մ/կ 1մլ ասեղով 0,6 x 30մմ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Վիրակապական թելեր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կարաթելերը նախատեսված են ընդհանուր փափուկ հյուսվածքների փակման համար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տուփ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Սկալպելի բռնակ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Սկալպելի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բռնակ №3 (ստանդարտ վիրաբուժական)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Ունելիներ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Անատոմիական ունելի չժանգոտվող պողպատից – 12 սմ, 14սմ, 16սմ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404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50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Մկրատ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Բժշկական մկրատ (պրոֆեսիոնալ)՝ պատրաստված բարձրորակ, չժանգոտվող մետաղից։ Ունի կլորավուն ծայր և կրկնակի սրված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ատամիկներ, ինչը ապահովում է անվտանգ և արդյունավետ օգտագործում։ Դասվում է պրոֆեսիոնալ բժշկական գործիքների շարքին և լայնորեն կիրառվում է բժշկական հաստատություններում, ինչպես նաև առաջին բուժօգնության դեղատուփերում։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Մկրատը առանձնանում է բարձր կտրող ունակությամ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բ, որի շնորհիվ հեշտությամբ կտրում է հաստ բինտ, հագուստ, գոտի, կաշվե նյութեր, հաստ թելեր և այլ տարբեր նյութեր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142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51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Սկալպել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վիրաբուժական գործիք, բռնակով և փոխարինվող ստերիլ սայրերով, չժանգոտվող պողպատից, բազմակի օգտագործման։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97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52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Ստերիլ բինտ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Բժշկական մառլյայից ստերիլ բինտ 7 մ x 14 սմ նախատեսված է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cr/>
                    <w:t>վիրակապական միջոցների ամրացման, դնելու, պատրաստման, վերքը կեղտից և ինֆեկցիայից պաշտպանելու, ինչպես նաև վերքային մակերեսին թթվածնի հասանելիություն ապահովելու համար: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տուփ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20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257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Ստերիլ բինտ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Բինտ 10 x 16                                                                                   Թանզիֆե բինտերը նախատեսված են վիրակապերն ամրացնելու և դնելու, ինչպես նաև վերքը աղտոտումից և մեխանիկական ազդեցություններից պաշտպանելու համար: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Դրանք օգտագործվում են վերքերի և այրվածքների մակերեսները վիրակապելու, նախահիվանդանոցային փուլում խորը վերքերը տամպոնացնելու՝ արյունահոս-ությունը դադարեցնելու համար, ինչպես նաև հետվիրահատական վերքերի վրա վիրակա-պեր դնելու՝ վարակումը կանխելու համար: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տուփ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10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431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54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Հիգրոսկոպիկ բամբակ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Բժշկական հիգրոսկոպիկ  բամբակը նախատեսված է լայն կիրառման համար բժշկական պրակտիկայում, հիգիենիկ և կոսմետոլոգիական պրոցեդուրաներում: Այն օգտագործվում է վիրահատական վիրակա-պական միջոցներ պատրաստելու, ներար-կումներից առաջ մաշկը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ախտահանելու, վերքերը մշակելու և վիրակապեր դնելու համար, ինչպես նաև տարբեր բժշկական պատրաստուկներ ներծծելու և քսելու համար առողջապահական հաստատություններում և տնային պայմաններում: Բամբակը կարող է ծառայել նաև որպես փափուկ միջադիր բեկակալներ և անշարժացնող վի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րակապեր դնելիս, ինչպես նաև մարմնի վիրակապված մասերը տաքացնելու համար: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տուփ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77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55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Հակաշոկային պրեպարատներ (Դեքսամետազոն)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Դեքսամետազոն (Dexamethasone) ներար-կման լուծույթ, Փաթեթավորում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Ապակյա ամպուլա կամ սրվակ՝ 1 մլ կամ 2 մլ։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Գործարանային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փաթեթավորում՝ արտադ-րողի մակնշմամբ, օգտագործման հրահան-գով։ Պիտանելիության ժամկետ՝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մատակարարման պահին մնացորդային պիտանելիությունը՝ առնվազն 70–80% ընդհանուր ժամկետից (կամ ըստ պատվի-րատուի պահանջի)։   Մատակարարման պայմաններ՝ Գործարանային չվնասված փաթեթավոր-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մամբ, համապատասխան մակնշմամբ (ար-տադրող, սերիա, պիտանելիություն, դեղաչափ)։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տուփ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4515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56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Հակաշոկային պրեպարատներ (Ադրենալին)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Բուժկետ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Ապրանքի անվանում՝ Ադրենալին (Epinephrine/Adrenaline) ներարկման լու-ծույթ,Յուրաքանչյուր 1 մլ պարունակի epinep-hrine՝ 1 մգ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,Փաթեթավորում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Ապակյա ամպուլա՝ 1 մլ (կամ արտադրողի ստանդարտ փաթեթավորում)։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Գործարանային փակ փաթեթավորում՝ մակնշմամբ և օգտագործման հրահանգով։Պահպանման պայմաններ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Պահպանել 15–25°C ջերմաստիճանում, լույսից պաշտպանված պայմաններում: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Պիտանելիության ժամկետ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Մատակարար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ման պահին մնացորդային պիտանելիությունը՝ առնվազն 70–80% ընդհանուր ժամկետից։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 Մատակարարման պայմաններ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Չվնասված գործարան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cr/>
                    <w:t>յին փաթեթավորմամբ, նշված սերիայով, արտադրության և պիտանելիության ժամկետներով։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տուփ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</w:tbl>
          <w:p w:rsidR="00CF0EA6" w:rsidRDefault="00CF0EA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</w:p>
        </w:tc>
      </w:tr>
    </w:tbl>
    <w:p w:rsidR="00CF0EA6" w:rsidRDefault="00CF0EA6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</w:p>
    <w:tbl>
      <w:tblPr>
        <w:tblW w:w="11400" w:type="dxa"/>
        <w:tblLayout w:type="fixed"/>
        <w:tblLook w:val="04A0" w:firstRow="1" w:lastRow="0" w:firstColumn="1" w:lastColumn="0" w:noHBand="0" w:noVBand="1"/>
      </w:tblPr>
      <w:tblGrid>
        <w:gridCol w:w="11400"/>
      </w:tblGrid>
      <w:tr w:rsidR="00CF0EA6">
        <w:trPr>
          <w:trHeight w:val="34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EA6" w:rsidRDefault="008F5A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sz w:val="18"/>
                <w:szCs w:val="18"/>
                <w:lang w:val="hy-AM"/>
              </w:rPr>
              <w:br w:type="page"/>
            </w:r>
            <w:r>
              <w:rPr>
                <w:rFonts w:ascii="GHEA Grapalat" w:hAnsi="GHEA Grapalat" w:cs="Sylfaen"/>
                <w:b/>
                <w:noProof/>
                <w:sz w:val="18"/>
                <w:szCs w:val="18"/>
                <w:lang w:val="en-GB"/>
              </w:rPr>
              <w:t>Լ</w:t>
            </w:r>
            <w:r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  <w:t>ՈՏ  2</w:t>
            </w:r>
          </w:p>
        </w:tc>
      </w:tr>
      <w:tr w:rsidR="00CF0EA6">
        <w:trPr>
          <w:trHeight w:val="34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EA6" w:rsidRDefault="008F5AC8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  <w:lastRenderedPageBreak/>
              <w:t>Տեխնիկական բնութագիր</w:t>
            </w:r>
          </w:p>
        </w:tc>
      </w:tr>
      <w:tr w:rsidR="00CF0EA6">
        <w:trPr>
          <w:trHeight w:val="85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EA6" w:rsidRDefault="008F5AC8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lang w:val="hy-AM"/>
              </w:rPr>
            </w:pPr>
            <w:r>
              <w:br w:type="page"/>
            </w:r>
            <w:r>
              <w:br w:type="page"/>
            </w:r>
            <w:r>
              <w:rPr>
                <w:rFonts w:ascii="GHEA Grapalat" w:hAnsi="GHEA Grapalat"/>
                <w:b/>
                <w:noProof/>
                <w:lang w:val="en-GB"/>
              </w:rPr>
              <w:t>Տ</w:t>
            </w:r>
            <w:r>
              <w:rPr>
                <w:rFonts w:ascii="GHEA Grapalat" w:hAnsi="GHEA Grapalat"/>
                <w:b/>
                <w:noProof/>
                <w:lang w:val="hy-AM"/>
              </w:rPr>
              <w:t>եխնիկա</w:t>
            </w:r>
            <w:r>
              <w:rPr>
                <w:rFonts w:ascii="GHEA Grapalat" w:hAnsi="GHEA Grapalat"/>
                <w:b/>
                <w:noProof/>
                <w:lang w:val="en-GB"/>
              </w:rPr>
              <w:t>յի</w:t>
            </w:r>
            <w:r>
              <w:rPr>
                <w:rFonts w:ascii="GHEA Grapalat" w:hAnsi="GHEA Grapalat"/>
                <w:b/>
                <w:noProof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noProof/>
                <w:lang w:val="hy-AM"/>
              </w:rPr>
              <w:t>սարքեր</w:t>
            </w:r>
            <w:r>
              <w:rPr>
                <w:rFonts w:ascii="GHEA Grapalat" w:hAnsi="GHEA Grapalat"/>
                <w:b/>
                <w:noProof/>
                <w:lang w:val="en-GB"/>
              </w:rPr>
              <w:t>ի</w:t>
            </w:r>
            <w:r>
              <w:rPr>
                <w:rFonts w:ascii="GHEA Grapalat" w:hAnsi="GHEA Grapalat"/>
                <w:b/>
                <w:noProof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noProof/>
                <w:lang w:val="hy-AM"/>
              </w:rPr>
              <w:t>և</w:t>
            </w:r>
            <w:r>
              <w:rPr>
                <w:rFonts w:ascii="GHEA Grapalat" w:hAnsi="GHEA Grapalat"/>
                <w:b/>
                <w:noProof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noProof/>
                <w:lang w:val="hy-AM"/>
              </w:rPr>
              <w:t>սարքավորումների</w:t>
            </w:r>
          </w:p>
          <w:p w:rsidR="00CF0EA6" w:rsidRDefault="00CF0EA6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lang w:val="hy-AM"/>
              </w:rPr>
            </w:pPr>
          </w:p>
          <w:tbl>
            <w:tblPr>
              <w:tblW w:w="10795" w:type="dxa"/>
              <w:tblLayout w:type="fixed"/>
              <w:tblLook w:val="04A0" w:firstRow="1" w:lastRow="0" w:firstColumn="1" w:lastColumn="0" w:noHBand="0" w:noVBand="1"/>
            </w:tblPr>
            <w:tblGrid>
              <w:gridCol w:w="700"/>
              <w:gridCol w:w="1455"/>
              <w:gridCol w:w="1018"/>
              <w:gridCol w:w="4382"/>
              <w:gridCol w:w="905"/>
              <w:gridCol w:w="900"/>
              <w:gridCol w:w="1435"/>
            </w:tblGrid>
            <w:tr w:rsidR="00CF0EA6">
              <w:trPr>
                <w:trHeight w:val="54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Հ/հ</w:t>
                  </w:r>
                </w:p>
              </w:tc>
              <w:tc>
                <w:tcPr>
                  <w:tcW w:w="14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Ապրանքի անվանումը</w:t>
                  </w:r>
                </w:p>
              </w:tc>
              <w:tc>
                <w:tcPr>
                  <w:tcW w:w="10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 xml:space="preserve">Նախա-գծային կոդը </w:t>
                  </w:r>
                </w:p>
              </w:tc>
              <w:tc>
                <w:tcPr>
                  <w:tcW w:w="4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Նկարագիրը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Չ\Մ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Քանակը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F0EA6" w:rsidRDefault="008F5AC8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  <w:t>Կողմնորո-շիչ լուսանկար</w:t>
                  </w:r>
                </w:p>
              </w:tc>
            </w:tr>
            <w:tr w:rsidR="00CF0EA6">
              <w:trPr>
                <w:trHeight w:val="484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Առաստաղից ամրացվող էլեկտրական պրոյեկտորի էկրան՝ roll-down (motorized) համակարգով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Մ1/Ս1-01/01 Մ2/Ս1-01/01 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Առաստաղից ամրացվող էլեկտրական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պրոյեկտորի էկրան`  Սինխրոն շարժիչային համակարգ և Չափս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200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×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200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համաձայնեցնել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պատվիրատուի հետ)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Մակերես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հակափայ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լ, բարձր լուսաբաշխմամբ (gain՝ 1.0–1.2)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Կառուցվածք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էլեկտրական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roll-down (motorized)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համակարգ՝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հարթ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փաթաթմամբ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ամուր մետաղական 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ալյումինե կաղապարով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Ամրացում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առաստաղային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մոնտաժի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հնարավորություն՝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համապատասխան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ամրակներով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պրոյեկտորների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պահովի հստակ և որակյալ պատկերի արտացոլում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Գույն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սպիտակ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դիտման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մակերես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եզրերով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Անվտանգություն և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գործարանային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արտադրանք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պաշտպանիչ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փաթեթավորմամբ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408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Առաստաղից ամրացվող էլեկտրական պրոյեկտորի էկրան՝ roll-down (motorized) համակարգով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Մ4/Ս1-01/01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Չափս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առնվազն 240×240 սմ ,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Մակերես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հակափայլ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լուսաբաշխմամբ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(gain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1.0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–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1.2),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ապահովի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հստակ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պատկեր նաև մեծ հեռավորությունից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Կառուցվածք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էլեկտրական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roll-down (motorized) համակարգ՝ դիմացկուն մեխանիզմով, ամուր ալյումինե/մետաղական կորպուսով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Ամրացում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առաստաղային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հուսալի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մոնտաժ՝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ուժեղացված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ամրակներով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դահլիճների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մեծ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սրահների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ապահովի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որակի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պատկեր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պրոյեկտորի դեպքում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Գույն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սպիտակ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իտման մակերես, սև եզրերով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Անվտանգություն և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արդյունաբերական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որակի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արտադրանք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կառուցվածք, գործարանային փաթեթավորմամբ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06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6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Սուրճի համար նախատեսված սարք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Մ1/Ս-10-10/10  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               Մ2/Ս-10-10/10 Մ4/Ս6-06/06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Սուրճի համար նախատեսված սարք երկտեղեանոց Հզորություն՝ առնվազն 1450W Առավելագույն ճնշում՝ 15 bar Ջրի տարայի ծավալ՝ 1500-1800 մլ, երկու բաժակ սուրճի միաժամանակյա պատրաստում: Առաքումը, բեռնաթափումը, տեղադրումը և միաց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ումը իրականացվում է մատակարարի միջոցներով: Հատիկավոր սուրճի տարրայի տարողություն(գր) 250 ։  Երաշխիքային ժամկետ՝ առնվազն 1 տարի: Ապրանքը պետք է լինի նոր, չօգտագործված, չվերանորոգված։     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53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7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Լամինատոր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Մ1/Ս-10-10/10                   Մ2/Ս-10-10/10  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  Մ4/Ս6-06/06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Տեխնիկական բնութագիր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Լամինացիայի լայնություն՝ մինչև 13 դյույմ (A3 չափ)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Թուղթ/պոչի հաստություն՝ 3–10 mil (մեկ կողմ)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Ռոլիկներ՝ 4–6 ռոլիկ համակարգ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Ջերմացման ժամանակ՝ մոտ 30–55 վայրկյան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Արագություն՝ մինչև 40–90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դյույմ/րոպե (կախված տարբերակից)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Աջակցվող չափեր՝ ID քարտից մինչև 13&amp;quot; × 19&amp;quot;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Ֆունկցիաներ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Ավտոմատ հակաջամ համակարգ (Anti-jam)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Reverse (հետադարձ դուրսբերում)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Ջերմաստիճանի ավտոմատ կարգավորում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Ֆոլիո լամինացիայի հնարավորություն (Foil applicator)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Էլեկտրա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կան տվյալներ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Լարում՝ 220V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Չափեր և քաշ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Չափեր՝ մոտ 470 × 135 × 80 mm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Քաշ՝ մոտ 2.9 – 4 kg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89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8</w:t>
                  </w:r>
                </w:p>
              </w:tc>
              <w:tc>
                <w:tcPr>
                  <w:tcW w:w="14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Վազքուղի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Մ1/Ս4-04/04   Մ1/Ս8-08/08   Մ2/Ս4-04/04   Մ2/Ս8-08/08   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• Տեսակ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Էլեկտրական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վազքուղի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Մարզասրահային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ինտենսիվ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կենցաղային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օգտագործման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Նախատեսվածություն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Հարմարեցված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հաշմանդամություն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ունեցող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անձանց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սահմանափակ շարժունակություն ունեցող օգտատերերի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Շարժիչի հզորություն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 DC2.5HP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Արագություն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1-14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/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ժ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Վազքի մակերես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1220x420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Կառավարում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Թվային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էկր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ան՝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արագության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ժա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մանակի, հեռավորության, կալորիաների և սրտի զարկերի ցուցադրմամբ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Առավելագույն ծանրաբեռնվածություն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100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–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120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• Կառուցվածք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Ամուր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ցածր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աղմուկով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աշխատանքի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հնարավորությամբ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Անվտանգություն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Վթարային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կանգնեցման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համակարգ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(safety key)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մաշվածակայուն, երկարաժամկետ օգտագործման համար նախատեսված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Ապրանքի քաշը  մոտ50  (կգ) ։ Պայմանագրի կատարման փուլում ներկայացնել ապրանքն արտադրողից կամ վերջինիս ներկայացուցչից երաշխիքային նամակ կամ համապատասխանության սերտիֆիկատ: Երաշխիքային ս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պասարկումը արտադրողի պաշտոնական սերվիզ կենտրոնում: Երաշխիք՝ առնվազն 365 օր: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51072" behindDoc="0" locked="0" layoutInCell="1" allowOverlap="1">
                        <wp:simplePos x="0" y="0"/>
                        <wp:positionH relativeFrom="column">
                          <wp:posOffset>66675</wp:posOffset>
                        </wp:positionH>
                        <wp:positionV relativeFrom="paragraph">
                          <wp:posOffset>838200</wp:posOffset>
                        </wp:positionV>
                        <wp:extent cx="533400" cy="800100"/>
                        <wp:effectExtent l="0" t="0" r="0" b="0"/>
                        <wp:wrapNone/>
                        <wp:docPr id="51" name="Picture 51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age2.png" title="Image"/>
                                <pic:cNvPicPr preferRelativeResize="0"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34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F0EA6">
              <w:trPr>
                <w:trHeight w:val="714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9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Հեծանիվ մարզասարք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Մ1/Ս4-04/04   Մ1/Ս8-08/08   Մ2/Ս4-04/04   Մ2/Ս8-08/08      Մ3/Ս13-13/13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• Տեսակ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Մարզական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հեծանիվ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Նախատեսված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մարզասրահային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վերականգնողական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ինտենսիվ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կենցաղային օգտագործման համար, այդ թվում՝ հաշմանդամություն ունեցող անձանց ֆիզիկական ակտիվության և վերականգնողական մարզումների նպատակով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Համակարգ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Մագնիսական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էլեկտրամագնիսական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ծանրաբե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ռնվածության համակարգ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Ծանրաբեռնվածության 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ակարդակներ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8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–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16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մակարդակ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Կառավարում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Թվային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էկրան՝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ժամանակի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արագության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հեռավորության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կալորիաների և սրտի զարկերի ցուցադրմամբ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Նստատեղ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Կարգավորվող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բարձրությամբ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դիրքով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70-100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Կառուցվածք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Ամուր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կայուն, ցածր աղմուկով աշխատանքի հնարավորու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թյամբ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Ոտնակներ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Հակասայթաքող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ամրացնող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գոտիներով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Առավելագույն ծանրաբեռնվածություն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100-150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Լրացուցիչ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Անիվներ՝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հեշտ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տեղափոխման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մաշվածակայուն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երկարաժամկետ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օգտագործման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նախատե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սված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66675</wp:posOffset>
                        </wp:positionH>
                        <wp:positionV relativeFrom="paragraph">
                          <wp:posOffset>838200</wp:posOffset>
                        </wp:positionV>
                        <wp:extent cx="504825" cy="628650"/>
                        <wp:effectExtent l="0" t="0" r="9525" b="0"/>
                        <wp:wrapNone/>
                        <wp:docPr id="50" name="Picture 50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image3.png" title="Image"/>
                                <pic:cNvPicPr preferRelativeResize="0"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1650" cy="6235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F0EA6">
              <w:trPr>
                <w:trHeight w:val="663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10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Քայլքի ապարատ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Մ1/Ս4-04/04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 Մ1/Ս8-08/08   Մ2/Ս4-04/04   Մ2/Ս8-08/08      Մ3/Ս13-13/13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• Տեսակ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Քայլքի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մարզասարք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Մարզասրահային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ինտենսիվ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կենցաղային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օգտագործման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Համակարգ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Մեխանիկական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մագնիսական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էլեկտրոնային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դիմադրության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համակարգ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• Չափերը՝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Երկարություն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ը՝ 120-160սմ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Լայնությունը՝ 55-75սմ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Բարձրությունը՝150-175սմ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Քայլքի երկարությունը՝30-45սմ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Օգտագործողի առավելագույն քաշը՝ 120-150կգ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Սարի քաշը՝ մոտ 40-70կգ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Ծանրաբեռնվածության մակարդակներ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Կարգավորվող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Կառավարում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Թվային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էկրան՝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ժամանակի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քայլերի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քանակի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կալորիաների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և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ծանրաբեռնվածության ցուցադրմամբ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Կառուցվածք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Ամուր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ցածր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աղմուկով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աշխատանքի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հնարավորությամբ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Ոտնակներ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Հակասայթաքող մակերեսով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Բռնակներ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Էրգոնոմիկ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բռնակներով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Լրացուցիչ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Կոմպակտ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կառուցվածք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հեշտ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տեղափոխման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հնարավորություն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Դիմացկուն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մաշվածակայուն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երկարաժամկետ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օգտագործման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նախատեսվա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ծ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76200</wp:posOffset>
                        </wp:positionH>
                        <wp:positionV relativeFrom="paragraph">
                          <wp:posOffset>1076325</wp:posOffset>
                        </wp:positionV>
                        <wp:extent cx="504825" cy="1000125"/>
                        <wp:effectExtent l="0" t="0" r="9525" b="0"/>
                        <wp:wrapNone/>
                        <wp:docPr id="48" name="Picture 48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age1.png" title="Image"/>
                                <pic:cNvPicPr preferRelativeResize="0"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8635" cy="10045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F0EA6">
              <w:trPr>
                <w:trHeight w:val="484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11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Ստեպպեր՝ քայլքի համար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Մ1/Ս4-04/04   Մ1/Ս8-08/08   Մ2/Ս4-04/04   Մ2/Ս8-08/08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Երկարություն՝ 140–160 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Լայնություն՝ 75–90 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Բարձրություն՝160–180 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Քայլքի դիմադրության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մակարդակներ – բազմաստիճան կարգավորում (10–20 մակարդակ)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Ցուցադրման վահանակ – LCD/LED դիսփլեյ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Ցուցադրվող տվյալներ – ժամանակ, արագություն, քայլերի քանակ, կալորիաներ, սրտի զարկեր, ծանրաբեռնվածության մակարդակ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Սրտի զարկերի չափում – բռնակային սենսորներով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Բռնակներ – կայունացման և անվտանգության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Սնուցում – 220V / 50Hz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Կառուցվածք – ամուր մետաղական շրջանակ, հակասայթաքող ոտնահարթակներ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57150</wp:posOffset>
                        </wp:positionH>
                        <wp:positionV relativeFrom="paragraph">
                          <wp:posOffset>733425</wp:posOffset>
                        </wp:positionV>
                        <wp:extent cx="657225" cy="1009650"/>
                        <wp:effectExtent l="0" t="0" r="0" b="0"/>
                        <wp:wrapNone/>
                        <wp:docPr id="47" name="Picture 47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age7.png" title="Image"/>
                                <pic:cNvPicPr preferRelativeResize="0"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9605" cy="10128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F0EA6">
              <w:trPr>
                <w:trHeight w:val="280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12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Ֆունկցիոնալ մատ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Մ1/Ս-8-08/08 Մ2/Ս-8-08/08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•  Տեսակ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Ֆունկցիոնալ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մատֆունկցիոնալ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(կարգավորվող) բժշկական մահճակալ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 Երկարություն – 190–200 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 Լայնություն – 60–75 սմ (պրեմիում մոդելներ՝ մինչև 75 սմ)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 Բարձրության կարգավորում – 50–90 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 Մեխանիկական տարբերակ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 Էլեկտրական (մոտորով) տարբերակ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•  Առավելագույն ծանրաբեռնվածություն – 18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0–250 կգ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• Լվացվող և չսայթաքող փափուկ շերտ 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67456" behindDoc="0" locked="0" layoutInCell="1" allowOverlap="1">
                        <wp:simplePos x="0" y="0"/>
                        <wp:positionH relativeFrom="column">
                          <wp:posOffset>28575</wp:posOffset>
                        </wp:positionH>
                        <wp:positionV relativeFrom="paragraph">
                          <wp:posOffset>609600</wp:posOffset>
                        </wp:positionV>
                        <wp:extent cx="638175" cy="809625"/>
                        <wp:effectExtent l="0" t="0" r="0" b="9525"/>
                        <wp:wrapNone/>
                        <wp:docPr id="46" name="Picture 46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image4.png" title="Image"/>
                                <pic:cNvPicPr preferRelativeResize="0"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0715" cy="8140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F0EA6">
              <w:trPr>
                <w:trHeight w:val="178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13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Մանկական վազքուղի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Մ3/Ս10-10/10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"Չափերը ՝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Երկարությունը 60-90սմ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Լայնությունը 30-40սմ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Ընդհանուր սարք՝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Երկարությունը 80-120սմ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Լայնությունը 45-50սմ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Բարձրությունը 70-110սմ  "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04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14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Մանկական Ստեպպեր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Մ3/Ս10-10/10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"Չափերը՝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2-6 Տարեկանների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Երկարությունը՝ 35-55սմ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Լայնությունը՝ 25-40սմ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Բարձրությունը՝ 15-25սմ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Պեդալնների չափ՝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Երկարություն 10-20 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Լայնություն՝ 8-15սմ "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108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15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Մարզագույք ուժային վարժությունների համար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Մ3/Ս10-10/10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3-6 տարեկանների համար,  քաշը փոփոխական 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789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16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Մարզասարք  մանկական հեծանիվ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Մ3/Ս10-10/10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Մանկական մարզարսարք մեխանիկական նախատեված 3-ից մինչև 8 տարեկան երեխաների համար: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Նստատեղի բարձրությունը կառավարվող է: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Ոտնակաները ունեն չսահող մակերես: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Առավելագույն ծանրաբեռնվածություն՝ 40 կգ: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Փափուկ բռնակները ապահովում են հարմարավետություն: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Աշխատում է 1 AAA մարկոցով: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CF0EA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944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17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Բախիլների համար նախատեսված հարմարանք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Նախամուտքերում                    Մ1/Ս3-03/03 Մ2/Ս3-03/03 Մ3/Ս2-02/02  Մ4/Ս14-14/14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Մ4/Ս11-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11/11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Ավտոմատ կոշիկի ծածկոց հագցնող սարքը նախատեսված է բուժհաստատություններում, լաբորատորիաներում, սննդի արտադրամասերում, մաքուր գոտիներում և այլ կազմակերպություններում հիգիենիկ ռեժիմի ապահովման համար։ Սարքը պետք է ապահովի կոշիկի ծածկոցի ավտոմատ տեղ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ադրում՝ առանց ձեռքով միջամտության։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Սարքի սնուցումը պետք է իրականացվի AC 110V/220V, 50/60Hz էլեկտրական ցանցից,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հզորությունը՝ 75 Վտ, իսկ ներքին աշխատանքային լարումը՝ DC 12V, 6A։ Կոշիկի ծածկոցի տեղադրման արագությունը պետք է լինի մինչև 3 վայրկյան մեկ զույգի հ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ամար։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Սարքը պետք է ունենա մինչև 200 հատ PE տեսակի, մինչև 160 հատ CPE տեսակի կամ մինչև 100 հատ ոչ հյուսված (Non-woven) կոշիկի ծածկոցների տարողություն։ Աջակցի նշված երեք տեսակի ծածկոցների օգտագործմանը։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Սարքի քաշը պետք է կազմի 20-21 կգ։ Գույնը՝ սպիտակ, արծա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թագույն կամ ոսկեգույն։ Սարքը կարող է լինել հենակով կամ առանց հենակի տարբերակով։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Սարքը պետք է ունենա ուլտրամանուշակագույն (UV) ստերիլիզացման լամպի տեղադրման հնարավորություն՝ պատվիրատուի պահանջով։ Պետք է ապահովվի նաև մետաղադրամ ընդունող համակարգի տեղադրման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հնարավորություն և աջակցություն տարբեր տեսակի մետաղադրամների կիրառմանը։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Արտաքին կառուցվածքը պետք է լինի ամուր, կայուն և հարմար ինտենսիվ շահագործման համար։ Մատակարարվող սարքը պետք է լինի նոր, չօգտագործված, գործարանային արտադրության, ամբողջական հավաքակազմով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և շահագործման հրահանգով։ Երաշխիքային ժամկետը պետք է կազմի առնվազն 12 ամիս։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Յուրաքանչյուր ավտոմատ կոշիկի ծածկոց հագցնող սարքի համար՝ 10,000 (տասը հազար) հատ բախիլ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82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18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Ջրի դիսպենսեր (կուլեր)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4 մասնաշենքերի միջացքներում և հանգստի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սենյակներումՄ1/Ս-10-10/10 Մ2/Ս-10-10/10 Մ4/Ս1-01/01 Մ4/Ս16-16/16 Մ4/Ս6-06/06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Ջրի դիսպենսեր -  առնվազն տաք, սառը և սենյակաին ջուր տրամադրելու հնարավորություններով, Ջրի տարրայի դիրքը՝ վերևից, ծորակների քանակ 1,  ջրի տաքացման հզորությունը` առնվազն  420Վտ, սառ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եցման հզորությունը առնվազն  100Վտ,  ջրի տաքացման հնարավորությունը  ժամում` առնվազն 4լ, սառեցմանը`առնվազն 3լ , տաք ջրից պաշտպանվելու անվտանգության համակարգ-այո, : Գույն՝արծաթագույն/սպիտակ ։ Բաժակատարի առկայություն՝ Այո ,։ Չափսերը առնվազն (ԲxԼxԽ) սմ 101-108x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31-34x33-36։  Գազի տեսակ R134a ,   Հոսանքի Վ/Հց) 220-240 Վ/50-60 Հց :Երաշխիքային ժամկետ՝ առնվազն 1 տարի: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9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37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19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Սառնարան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Մ1/Ս-6-06/06 Մ1/Ս-10-10/10 Մ2/Ս-6-06/06                                     Մ2/Ս-10-10/10 Մ4/Ս6-06/06  Մ4/Ս7-07/07 (Նկուղ) Մ4/Ս16-16/16 Պահակակետ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Սառնարան՝ մեկդռնանի, չափսերը՝առավելագույնը 50 x 50 x 84 , ներսի սառցախցիկով, Defrost սառեցման համակարգով, ընդ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հանուր օգտակար ծավալը՝ ոչ պակաս քան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145 լ, սառնախցիկի ծավալը՝ ոչ պակաս քան 110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լ, սառցախցիկի ծավալը՝ ոչ պակաս քան 35 լ, Միացումը էլեկտրական վարդակից՝ եվրոստանդարտ (եվրոպական CEE7/7 Շուկո խրոց): էներգախնայողության դասը՝ A++ կամ համարժեք, մեխանիկական կառավա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րման համակարգով, ապակյա դարակներով, ստանդարտ կոմպրեսորով, SN/T կլիմատիկ դասով, R600a տեսակի գազով, տարեկան էլեկտրաէներգիայի սպառումը՝ մինչև 120 կՎտ/տարի, աղմուկի մակարդակը՝ մինչև 35 dB, արծաթագույն, դռների վերադասավորման հնարավորությամբ։Պայմանագրի կատարման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փուլում ներկայացնել ապրանքն արտադրողից կամ վերջինիս ներկայացուցչից երաշխիքային նամակ կամ համապատասխանության սերտիֆիկատ: Երաշխիքային սպասարկումը արտադրողի պաշտոնական սերվիզ կենտրոնում: Երաշխիք՝ առնվազն 365 օր: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8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510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20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Սառցարան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Մ4/Ս6-06/06 Նկուղ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Սառցարանի  չափսերը՝ առավելագույնը 1500x900 մմ,  Defrost սառեցման համակարգով, ընդհանուր օգտակար ծավալը՝ ոչ պակաս քան 299 լ,  Միացումը էլեկտրական վարդակից՝ եվրոստանդարտ (եվրոպական CEE7/7 Շուկո խրոց):  էներգախնայողության դասը՝ A++ + կամ համարժեք, մեխանիկական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կառավարման համակարգով, ստանդարտ կոմպրեսորով, SN/T կլիմատիկ դասով, R600a տեսակի գազով, տարեկան էլեկտրաէներգիայի սպառումը՝ մինչև 272 կՎտ/տարի, աղմուկի մակարդակը՝ մինչև 45 dB, արծաթագույն, դռների վերադասավորման հնարավորությամբ։Պայմանագրի կատարման փուլում ներկ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այացնել ապրանքն արտադրողից կամ վերջինիս ներկայացուցչից երաշխիքային նամակ կամ համապատասխանության սերտիֆիկատ: Երաշխիքային սպասարկումը արտադրողի պաշտոնական սերվիզ կենտրոնում:Գույնը արծաթագույն Երաշխիք՝ առնվազն 365 օր: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12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21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Միկրոալիքային վառարան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Մ4/Ս16-16/16 Պահակակետ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Տեսակ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Միկրոալիքային վառարան ՝ Կառավարման ձևը սենսորային Տարողություն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20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–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25 լիտրՀզորություն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2100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Վտ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 Կառավարում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Էլեկտրոնային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մեխանիկական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կառավարման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վահանակ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,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Ծրագրեր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Տաքացման, հալեցման և արագ պատրաստման ռեժիմներ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, Ժամանակաչափ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Ներկառուցված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timerՆերքին ծածկույթ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Հեշտ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մաքրվող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ջերմակայունԴուռ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Ջերմակայուն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ապակիով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Պտտվող հարթակ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Ներկառուցված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turntable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հավասար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տաքացման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Էներգամատակարարում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220V / 50Hz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Կառուցվածք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Կո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մպակտ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ամուր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ժամանակակից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դիզայնով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Օգտագործում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Գրասենյակային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կամ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կենցաղայի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 օգտագործման համար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 Որակ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Բարձրորակ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հուսալի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խոնավակայուն և երկարաժամկետ օգտագործման համար նախատեսված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Չափերը առնվազն 50 x 30 x 38 cm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Երաշխիքային սպասարկումը արտադրողի պաշտոնական սերվիզ կենտրոնում: Երաշխիք՝ առնվազն 365 օր: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535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22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Արդուկ - Գոլորշիով արդուկող մամլիչ (Steam Iron Press)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1. Մակերես և կառուցվածք.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Սեղմման մակերես. Ունի մոտավորապես 63 × 26 սմ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աշխատանքային մակերես, ինչը զգալիորեն ավելի լայն է, քան սովորական ձեռքի արդուկը: Սա թույլ է տալիս մեկ շարժումով հարթեցնել հագուստի մեծ հատվածներ: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Կայունություն. Սարքն ունի ամուր հիմք, որը չի սայթակում աշխատանքի ժամանակ՝ ապահովելով առավելագույն անվտանգությու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2. Թերապևտիկ նշանակությունը.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Էներգիայի խնայում. Այս սարքը կատարյալ է այն դեռահասների համար, ովքեր ունեն մկանային թուլություն կամ շուտ են հոգնում, քանի որ այն չի պահանջում արդուկի անընդհատ տեղաշարժում և ծանրության բարձրացում: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Անվտանգություն. Ի տարբերությ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ուն սովորական արդուկի, մամլիչը նվազեցնում է պատահական հպման հետևանքով այրվածք ստանալու հավանականությունը, քանի որ տաք մակերեսը գտնվում է պաշտպանիչ կափարիչի տակ: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561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23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Արդուկի սիլիկոնե պահակ (Ironing Rest Pad)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Ջերմակայունություն. Պատրաստված է բարձրորակ սիլիկոնից, որը դիմանում է մինչև 230°C ջերմաստիճանի: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Անվտանգության եզրեր. Ունի չսայթակող պաշտպանիչ եզրեր, որոնք թույլ չեն տալիս տաք արդուկին պատահականորեն սահել կամ ընկնել հենակի վրայից: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Մակերես. Ներքին հատվածն օժտ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ված է հատուկ բլրակներով կամ նախշերով, որոնք արագացնում են ջերմության ցրումը և կայունացնում արդուկի դիրքը: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Խնամք. Հեշտությամբ լվացվում է և չի կլանում հոտեր կամ խոնավություն: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2. Թերապևտիկ նշանակությունը.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Այս հարմարանքը կարևոր է այն անձանց համար, ովքեր ունեն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շարժումների կոորդինացիայի խանգարումներ. Կանխում է արդուկի տապալումը անկայուն շարժման դեպքում: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Ստեղծում է հստակ «անվտանգ գոտի» տաք սարքի համար՝ նվազեցնելով հրդեհի կամ այրվածքների ռիսկը: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229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24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Սրճեփ էլեկտրական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 Պահակակետ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էլեկտրական սրճեփ  երկտեղանոց  Հզորություն 800–1200 Վտ ,  ջրի տարողությունը կազմում է մոտ 0</w:t>
                  </w:r>
                  <w:r>
                    <w:rPr>
                      <w:rFonts w:ascii="Cambria Math" w:eastAsia="Times New Roman" w:hAnsi="Cambria Math" w:cs="Cambria Math"/>
                      <w:noProof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–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1 </w:t>
                  </w:r>
                  <w:r>
                    <w:rPr>
                      <w:rFonts w:ascii="GHEA Grapalat" w:eastAsia="Times New Roman" w:hAnsi="GHEA Grapalat" w:cs="GHEA Grapalat"/>
                      <w:noProof/>
                      <w:color w:val="000000"/>
                      <w:sz w:val="20"/>
                      <w:szCs w:val="20"/>
                      <w:lang w:val="hy-AM"/>
                    </w:rPr>
                    <w:t>լիտր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, ինչը թույլ է տալիս պատրաստել միջինում 8–12 բաժակ սուրճ։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կորպուսը ՝ ջերմակայուն , պլաստիկից կամ չժանգոտվող պողպատից,ավտոմատ անջատման համակարգ՝ ջրի ավարտի կա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 գերտաքացման դեպքում, ինչպես նաև գերտաքացումից։ Երաշխիք առնվազն 6 ամիս ։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357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25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Թեյնիկ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 Մ4/Ս16-16/16 Պահակակետ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Թեյնիկ էլեկտրական 1.7-2լ տարողությամբ, , 220-240V&lt;50-60HZ, պլասմասե բռնակով, Լարի երկարություն (մ)-  0.6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Հզորությունը (Վտ)-  առնվազն 2200 Նյութ-Չժանգոտվող պողպատ Գույնը արծաթագույն /սև Ջրի մակարդակի ցուցիչ- առկա է ։ Երաշխիքային սպասարկումը արտադրողի պաշտոնական սերվիզ կենտրոնում: Երաշխիք՝ 365 օր: Երաշխիքի ընթացքում ի հայտ եկած թերությունները մատակարարը պետք է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շտկի կամ փոխարինի նորով՝ 3-5 օրում, ապահովելով ապրանքի տեղափոխումը համապատասխան սպասարկման սրահ՝ վերադարձով: Պարտադիր պայման` ապրանքը պետք է լինի նոր, չօգտագործված: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819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26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Փոշեկուլ (չոր և թաց մաքրման համար)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Մ1/Ս-6-06/06 Մ2/Ս-6-06/06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Տեսակ՝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արդյունաբերական թաց և չոր մաքրման փոշեկուլ: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Փոշու դաս՝ L (EN 60335-2-69 ստանդարտին համապատասխան):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Բաքի տարողություն՝ ոչ պակաս, քան 30 լիտր: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Բաքի նյութ՝ հարվածադիմացկուն պլաստիկ: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Օդի հոսք՝ ոչ պակաս, քան 74 լ/վրկ: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Վակուում (նոսրացում)՝ ոչ պակաս, քան 273 մբար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(27.3 կՊա):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Էլեկտրական սնուցում՝ 220-240 Վ, 50-60 Հց, միաֆազ: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Հզորություն՝ մինչև 1380 Վտ: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Մալուխի երկարություն՝ ոչ պակաս, քան 7.5 մ: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Աղմուկի մակարդակ՝ ոչ ավելի, քան 70 դԲ(A):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Խողովակի անվանական տրամագիծ՝ DN/ID 35 մմ: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 xml:space="preserve">Քաշ (առանց պարագաների)՝ ոչ ավելի, քան 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12 կգ: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Պետք է ունենա կիսաավտոմատ ֆիլտրի մաքրման համակարգ (AP):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Պետք է ապահովի ինչպես հեղուկների, այնպես էլ չոր աղբի և մանր փոշու հավաքում: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Պետք է ունենա հարթ ծալքավոր ֆիլտր և ֆիլտրի հեշտ փոխարինման համակարգ: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Պետք է ունենա աքսեսուարների և սնուցման մալուխի ի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նտեգրված պահեստավորման հնարավորություն: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Պաշտպանության դաս՝ առնվազն II: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Սարքը պետք է մատակարարվի հետևյալ պարագաներով՝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ներծծող գուլպան՝ առնվազն 2.5 մ,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ներծծող խողովակներ՝ 2 հատ, մետաղական,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թաց/չոր մաքրման հատակի գլխիկ,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ճեղքային գլխիկ,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ֆիլտրային պարկ՝ առնվազն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1 հատ: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Չափսերը՝ մոտ 525 × 370 × 560 մմ կամ համարժեք: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CF0EA6">
              <w:trPr>
                <w:trHeight w:val="612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27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Վարսահարդարիչ RAF R.4506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Մ1/Ս-6-06/06 Մ2/Ս-6-06/06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մազերի չորանոց ,  նախատեսված կենցաղային և կիսապրոֆեսիոնալ օգտագործման համար,սարքը պետք է ապահովի արագ և արդյունավետ չորացում, հզորությունը՝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առնվազն 1800–2200 Վտ,սարքը պետք է ունենա ամուր կորպուս՝ պատրաստված բարձրորակ պլաստմասսե նյութից, գույնը՝ սև կամ համարժեք,սարքը պետք է ապահովի առնվազն 2 ջերմաստիճանային ռեժիմ և առնվազն 2 արագության կարգավորում, ապահովելով տարբեր մազերի տեսակների խնամք,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սար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քը պետք է ունենա սառը օդի (cool shot) ֆունկցիա,սարքը պետք է հագեցած լինի կենտրոնացնող գլխիկով (concentrator nozzle) և ապահովի ուղղորդված օդի հոսք,սարքը պետք է ունենա գերբեռնվածությունից և գերտաքացումից պաշտպանության համակարգ, ինչպես նաև կախման օղակ՝ հարմար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 xml:space="preserve"> պահպանման համար,</w:t>
                  </w: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br/>
                    <w:t>էլեկտրասնուցման լարումը՝ 220–240 Վ, հաճախականությունը՝ 50–60 Հց,մատակարարվող ապրանքը պետք է լինի նոր, չօգտագործված, գործարանային փաթեթավորմամբ, բոլոր չափսերի համար թույլատրելի է շեղում ±5%։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հատ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F0EA6" w:rsidRDefault="008F5AC8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</w:tbl>
          <w:p w:rsidR="00CF0EA6" w:rsidRDefault="008F5AC8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br/>
            </w:r>
          </w:p>
          <w:p w:rsidR="00CF0EA6" w:rsidRDefault="00CF0EA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sz w:val="20"/>
                <w:szCs w:val="20"/>
                <w:lang w:val="hy-AM"/>
              </w:rPr>
            </w:pPr>
          </w:p>
          <w:p w:rsidR="00CF0EA6" w:rsidRDefault="00CF0EA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</w:p>
        </w:tc>
      </w:tr>
    </w:tbl>
    <w:p w:rsidR="00CF0EA6" w:rsidRDefault="00CF0EA6">
      <w:pPr>
        <w:spacing w:after="160" w:line="259" w:lineRule="auto"/>
      </w:pPr>
    </w:p>
    <w:p w:rsidR="00CF0EA6" w:rsidRDefault="008F5AC8">
      <w:pPr>
        <w:spacing w:after="160" w:line="259" w:lineRule="auto"/>
        <w:jc w:val="center"/>
        <w:rPr>
          <w:rFonts w:ascii="GHEA Grapalat" w:eastAsia="Times New Roman" w:hAnsi="GHEA Grapalat"/>
          <w:b/>
          <w:noProof/>
          <w:lang w:val="hy-AM"/>
        </w:rPr>
      </w:pPr>
      <w:r>
        <w:rPr>
          <w:rFonts w:ascii="GHEA Grapalat" w:eastAsia="Times New Roman" w:hAnsi="GHEA Grapalat"/>
          <w:b/>
          <w:noProof/>
          <w:lang w:val="hy-AM"/>
        </w:rPr>
        <w:t>ԼՈՏ  3</w:t>
      </w:r>
    </w:p>
    <w:p w:rsidR="00CF0EA6" w:rsidRDefault="008F5AC8">
      <w:pPr>
        <w:spacing w:after="0" w:line="240" w:lineRule="auto"/>
        <w:contextualSpacing/>
        <w:jc w:val="center"/>
        <w:rPr>
          <w:rFonts w:ascii="GHEA Grapalat" w:eastAsia="Times New Roman" w:hAnsi="GHEA Grapalat" w:cs="Calibri"/>
          <w:b/>
          <w:bCs/>
          <w:noProof/>
          <w:color w:val="000000"/>
          <w:lang w:val="hy-AM"/>
        </w:rPr>
      </w:pPr>
      <w:r>
        <w:rPr>
          <w:rFonts w:ascii="GHEA Grapalat" w:eastAsia="Times New Roman" w:hAnsi="GHEA Grapalat" w:cs="Calibri"/>
          <w:b/>
          <w:bCs/>
          <w:noProof/>
          <w:color w:val="000000"/>
          <w:lang w:val="hy-AM"/>
        </w:rPr>
        <w:t>Տեխնիկական բնութագիր</w:t>
      </w:r>
    </w:p>
    <w:p w:rsidR="00CF0EA6" w:rsidRDefault="008F5AC8">
      <w:pPr>
        <w:spacing w:after="0" w:line="259" w:lineRule="auto"/>
        <w:contextualSpacing/>
        <w:jc w:val="center"/>
        <w:rPr>
          <w:rFonts w:ascii="GHEA Grapalat" w:hAnsi="GHEA Grapalat"/>
          <w:b/>
          <w:noProof/>
          <w:lang w:val="hy-AM"/>
        </w:rPr>
      </w:pPr>
      <w:r>
        <w:rPr>
          <w:rFonts w:ascii="GHEA Grapalat" w:hAnsi="GHEA Grapalat"/>
          <w:b/>
          <w:noProof/>
          <w:lang w:val="en-GB"/>
        </w:rPr>
        <w:t>Ա</w:t>
      </w:r>
      <w:r>
        <w:rPr>
          <w:rFonts w:ascii="GHEA Grapalat" w:hAnsi="GHEA Grapalat"/>
          <w:b/>
          <w:noProof/>
          <w:lang w:val="hy-AM"/>
        </w:rPr>
        <w:t>յլընտրանքային</w:t>
      </w:r>
      <w:r>
        <w:rPr>
          <w:rFonts w:ascii="GHEA Grapalat" w:hAnsi="GHEA Grapalat"/>
          <w:b/>
          <w:noProof/>
          <w:lang w:val="hy-AM"/>
        </w:rPr>
        <w:t xml:space="preserve"> </w:t>
      </w:r>
      <w:r>
        <w:rPr>
          <w:rFonts w:ascii="GHEA Grapalat" w:hAnsi="GHEA Grapalat"/>
          <w:b/>
          <w:noProof/>
          <w:lang w:val="hy-AM"/>
        </w:rPr>
        <w:t>հաղորդակցման</w:t>
      </w:r>
      <w:r>
        <w:rPr>
          <w:rFonts w:ascii="GHEA Grapalat" w:hAnsi="GHEA Grapalat"/>
          <w:b/>
          <w:noProof/>
          <w:lang w:val="hy-AM"/>
        </w:rPr>
        <w:t xml:space="preserve"> </w:t>
      </w:r>
      <w:r>
        <w:rPr>
          <w:rFonts w:ascii="GHEA Grapalat" w:hAnsi="GHEA Grapalat"/>
          <w:b/>
          <w:noProof/>
          <w:lang w:val="hy-AM"/>
        </w:rPr>
        <w:t>պարագաների</w:t>
      </w:r>
    </w:p>
    <w:p w:rsidR="00CF0EA6" w:rsidRDefault="00CF0EA6">
      <w:pPr>
        <w:spacing w:after="160" w:line="259" w:lineRule="auto"/>
        <w:jc w:val="center"/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1260"/>
        <w:gridCol w:w="4230"/>
        <w:gridCol w:w="990"/>
        <w:gridCol w:w="720"/>
      </w:tblGrid>
      <w:tr w:rsidR="00CF0EA6">
        <w:trPr>
          <w:trHeight w:val="9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  <w:t>Հ/հ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  <w:t>Ապրանքի անվանումը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  <w:t xml:space="preserve">Կոդը 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  <w:t>Նկարագիրը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  <w:t>Չ\Մ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  <w:t>Քանակը</w:t>
            </w:r>
          </w:p>
        </w:tc>
      </w:tr>
      <w:tr w:rsidR="00CF0EA6">
        <w:trPr>
          <w:trHeight w:val="66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Փի Սի Այ 5՝ Թի Դի Կոնտրոլով (PCEye 5 with TD Control)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Eye Tracking &amp; Computer Access / Հայացքով կառավարում և համակարգչային մատչելիություն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899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Փի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Սի Այ ամրակ (PCEye Bracket)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Հատուկ մետաղական ամրակ (bracket), որն ապահով ֆիքսում է աչքի սենսորը պլանշետի վրա՝ երաշխավորելով սենսորի ճշգրիտ դիրքը և կայունությունը: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1367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Մայքրոսոֆթ Սերֆեյս Պրո (Microsoft Surface Pro)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Երկուսը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մեկում նոթբուք + պլանշետ, որն աշխատում է Windows օպերացիոն համակարգի լիարժեք տարբերակով: Իր թեթևության և հզորության  շնորհիվ այն լավագույն հարթակն է Grid 3 ծրագրի և հայացքով կառավարվող սարքերի համար: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117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Լուք թու Լերն –ուսուցողական ծրագրային ապահովում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 (Look to Learn)</w:t>
            </w:r>
          </w:p>
          <w:p w:rsidR="00CF0EA6" w:rsidRDefault="00CF0EA6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Ուսուցողական և զարգացնող ծրագրային փաթեթ, որը նախատեսված է հայացքով կառավարման հմտությունների ձևավորման և զարգացման համար: Այն ներառում է 40-ից ավելի խաղային առաջադրանքներ (ծրագիր լիցենզավորված):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2222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Լուք Լաբ ծրագրային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ապահովում (Look Lab)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Look Lab-ը ներկայացնում է տեսողական ուշադրության և հայացքի վարքի ուսումնասիրման և գնահատման համակարգ, որը հիմնված է eye-tracking (աչքի շարժման հետևման) տեխնոլոգիաների վրա։ Այն կիրառվում է ինչպես հետազոտա-կան, այնպես էլ կի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րառական (թերապևտիկ և կրթական) միջավայրերում՝ նպատակ ունենալով գնահատել և զարգացնել անհատի տեսողական ուշադրությունը, ընկալումը և հաղորդակցական կարողությունները (ծրագիր լիցենզավորված):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26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7. Թի Սի Էլ 3Դի 3Քյու Էս Յու Դի Էս (ամրացման համակարգ) TC L3D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3QS UDS (Mounting System)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Մոնտաժային լուծումներ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Պրոֆեսիոնալ 3D ամրացման համակարգ QuickShift տեխնոլոգիայով: Ապահով պահում է սարքը սայլակների կամ սեղանների վրա՝ ապահովելով հայացքի ճիշտ անկյունը: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16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ՓաուերԼինք</w:t>
            </w:r>
            <w:r>
              <w:rPr>
                <w:rFonts w:ascii="GHEA Grapalat" w:hAnsi="GHEA Grapalat"/>
                <w:lang w:val="hy-AM"/>
              </w:rPr>
              <w:t xml:space="preserve"> 4 </w:t>
            </w:r>
            <w:r>
              <w:rPr>
                <w:rFonts w:ascii="GHEA Grapalat" w:hAnsi="GHEA Grapalat"/>
                <w:lang w:val="hy-AM"/>
              </w:rPr>
              <w:t>կառավարման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միավոր</w:t>
            </w:r>
          </w:p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PowerLink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 4 Control Unit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    Մ2/Ս-6-06/06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Միջավայրի վերահսկողություն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Էլեկտրական սարքերի կառավարման վահանակ, որը թույլ է տալիս օգտվողին միացնել/անջատել սարքերը (լամպ, օդափոխիչ) հայացքով կամ կոճակներով: Ունի 6 կառավարման ռեժիմ: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8</w:t>
            </w:r>
          </w:p>
        </w:tc>
      </w:tr>
      <w:tr w:rsidR="00CF0EA6">
        <w:trPr>
          <w:trHeight w:val="224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Բի Ջեյ-245 Բի Ջեյ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 ԹոյԲոքս BJ-245 BJ Toybox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USB ինտերֆեյս, որն օգտագործվում է սարքերը անմիջապես հաղորդակցման ծրագրից կառավարելու համար: Այն հանդիսանում է կապող օղակ, որը թույլ է տալիս օգտվողին փոխազդել սարքավորումների հետ իր AAC ինտերֆեյսի միջոցով: Եթե Toybox-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ը միացված է PowerLink 4-ին, ապա օգտվողը կարող է Grid 3-ի միջոցով միացնել կամ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անջատել սենյակի լույսը կամ հեռուստացույցը՝ ապահովելով լիարժեք ինքնուրույնություն: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2456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Անջատիչով կառավարվող խաղալիքներ (Switch Adapted Toys)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Խաղալիքներ, որոնք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հարմարեցված են արտաքին switch (անջատիչ) սարքով կառավարման համար։ Կառավարում՝ մեկ կոճակով ակտիվացում (single switch access)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Տեսակներ՝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ձայնային խաղալիքներ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շարժվող խաղալիքներ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լուսային/երաժշտական խաղալիքներ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Նյութ՝ անվտանգ պլաստիկ և փափուկ հարվածադիմացկուն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Հեշտ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 ակտիվացվող մեխանիզմ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881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Պրոքս Թոքեր Հաղորդակցման սարք (ProxTalker)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RFID տեխնոլոգիայով աշխատող AAC սարք, որը ձայնագրում և վերարտադրում է հաղորդագրություններ՝ հատուկ չիպավորված քարտերի (tag) միջոցով։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1</w:t>
            </w:r>
          </w:p>
        </w:tc>
      </w:tr>
      <w:tr w:rsidR="00CF0EA6">
        <w:trPr>
          <w:trHeight w:val="26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Քուիք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Թոքեր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ՖԹ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Հաղորդակցման սարք (QuickTalker FT)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Բազմահաղորդագրությամբ AAC սարք՝ ձայնագրվող հաղորդագրություններով։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Կոճակների քանակ՝ 7 / 12 / 23 (կախված մոդելից)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Ձայնագրման մակարդակներ՝ մինչև 5 level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3</w:t>
            </w:r>
          </w:p>
        </w:tc>
      </w:tr>
      <w:tr w:rsidR="00CF0EA6">
        <w:trPr>
          <w:trHeight w:val="231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ԲԻԳմակ, ԼԻԹԼմակ, Թոք2, Թոք4, ԲԻԳ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Ստեպ-բայ-Ստեպ հաղորդակցման սարքեր Switch (BIGmack, LITTLEmack, Talk2, Talk4, BIG Step-by-Step)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Պարզ AAC հաղորդակցման սարքեր՝ ձայնագրվող հաղորդագրություններով, ակտիվացվում են սեղմվող կոճակով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BIGmack / LITTLEmack  մեկ հաղորդագրություն (single-m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essage), մինչև 2 րոպե ձայնագրում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Talk2 / Talk4  2 կամ 4 հաղորդագրություն (multi-message)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3</w:t>
            </w:r>
          </w:p>
        </w:tc>
      </w:tr>
      <w:tr w:rsidR="00CF0EA6">
        <w:trPr>
          <w:trHeight w:val="198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ՋիԹեք Քիդս Քեյս 11 դյույմի համար (11-րդ սերունդ)</w:t>
            </w:r>
          </w:p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JETech Kids Case for 11-inch (11th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Generation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Մ2/Ս-13-13/13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Պաշտպանիչ պատյան՝ համատեղելի iPad 11"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մոդելների հետ։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Նյութ՝ հարվածադիմացկուն, թեթև EVA foam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Կառուցվածք՝ հաստ եզրեր՝ էկրանի պաշտպանության համար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Բռնակ՝ հեշտ տեղափոխման համար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 xml:space="preserve">Կանգնակ (stand)՝ սեղանին օգտագործելու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համար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9</w:t>
            </w:r>
          </w:p>
        </w:tc>
      </w:tr>
      <w:tr w:rsidR="00CF0EA6">
        <w:trPr>
          <w:trHeight w:val="1376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Հաղորդակցման սարք Talk4 (կամ iTalk4)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Մ2/Ս-6-06/06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Պարզ AAC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հաղորդակցման սարք՝ ձայնագրվող հաղորդագրություններով, ակտիվացվում են սեղմվող կոճակով`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br/>
              <w:t>4 հաղորդագրություն (multi-message)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6</w:t>
            </w:r>
          </w:p>
        </w:tc>
      </w:tr>
      <w:tr w:rsidR="00CF0EA6">
        <w:trPr>
          <w:trHeight w:val="66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 ԲԻԳմակ</w:t>
            </w:r>
          </w:p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հաղորդակցման սարքեր Switch (BIGmack)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noProof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Պարզ AAC հաղորդակցման սարք ձայնագրվող հաղորդագրություններով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4</w:t>
            </w:r>
          </w:p>
        </w:tc>
      </w:tr>
      <w:tr w:rsidR="00CF0EA6">
        <w:trPr>
          <w:trHeight w:val="13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Գրիդ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3-ծրագրային ապահովում Grid 3 Software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noProof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Մասնագիտացված ծրագիր պատկերային և տեքստային հաղորդակցման համար: Ներառում է գործիքներ համացանցից, սոցիալական ցանցերից օգտվելու և միջավայրը կառավարելու համար (ծրագիր լիցենզավորված):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CF0EA6">
        <w:trPr>
          <w:trHeight w:val="221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Գրիդ՝ ԱյՓադի համար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ծրագրային ապահովում (Grid for iPad)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noProof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AAC ծրագիր iPad-ի համար, որը թույլ է տալիս հաղորդակցվել պատկերների, սիմվոլների և տեքստի միջոցով։Հնարավորություններ՝սիմվոլային հաղորդակցում (symbol-based)տեքստային հաղորդակցում (text-to-speech)անհատական էջերի և բառապաշա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րի ստեղծումբարձր որակի ձայնային արտաբերումՀարմարեցվող ինտերֆեյս՝ տարբեր մակարդակների օգտվողների համար (ծրագիր լիցենզավորված):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0EA6" w:rsidRDefault="008F5AC8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9</w:t>
            </w:r>
          </w:p>
        </w:tc>
      </w:tr>
    </w:tbl>
    <w:p w:rsidR="00CF0EA6" w:rsidRDefault="00CF0EA6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</w:p>
    <w:p w:rsidR="00CF0EA6" w:rsidRDefault="00CF0EA6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</w:p>
    <w:p w:rsidR="005854A7" w:rsidRDefault="005854A7" w:rsidP="005854A7">
      <w:pPr>
        <w:pStyle w:val="BodyTextIndent3"/>
        <w:numPr>
          <w:ilvl w:val="0"/>
          <w:numId w:val="36"/>
        </w:numPr>
        <w:spacing w:after="0"/>
        <w:ind w:left="0" w:firstLine="0"/>
        <w:contextualSpacing/>
        <w:jc w:val="both"/>
        <w:rPr>
          <w:rFonts w:ascii="GHEA Grapalat" w:hAnsi="GHEA Grapalat" w:cs="Sylfaen"/>
          <w:b/>
          <w:noProof/>
          <w:sz w:val="18"/>
          <w:szCs w:val="18"/>
        </w:rPr>
      </w:pPr>
      <w:bookmarkStart w:id="2" w:name="_GoBack"/>
      <w:bookmarkEnd w:id="0"/>
      <w:bookmarkEnd w:id="1"/>
      <w:r>
        <w:rPr>
          <w:rFonts w:ascii="GHEA Grapalat" w:hAnsi="GHEA Grapalat" w:cs="Sylfaen"/>
          <w:b/>
          <w:noProof/>
          <w:sz w:val="18"/>
          <w:szCs w:val="18"/>
        </w:rPr>
        <w:t>Պ</w:t>
      </w:r>
      <w:r w:rsidRPr="005854A7">
        <w:rPr>
          <w:rFonts w:ascii="GHEA Grapalat" w:hAnsi="GHEA Grapalat" w:cs="Sylfaen"/>
          <w:b/>
          <w:noProof/>
          <w:sz w:val="18"/>
          <w:szCs w:val="18"/>
        </w:rPr>
        <w:t>ատվիրատուի ընդունմանը ներկայացված ապրանքների վերաբերյալ արդյունքը պատվիրատուն կարող է ուսումնասիրել ներկայացման պահից մինչև 10 օրացուցային օրվա ընթացքում</w:t>
      </w:r>
    </w:p>
    <w:p w:rsidR="005854A7" w:rsidRPr="005854A7" w:rsidRDefault="005854A7" w:rsidP="005854A7">
      <w:pPr>
        <w:pStyle w:val="BodyTextIndent3"/>
        <w:numPr>
          <w:ilvl w:val="0"/>
          <w:numId w:val="36"/>
        </w:numPr>
        <w:spacing w:after="0"/>
        <w:ind w:left="0" w:firstLine="0"/>
        <w:contextualSpacing/>
        <w:jc w:val="both"/>
        <w:rPr>
          <w:rFonts w:ascii="GHEA Grapalat" w:hAnsi="GHEA Grapalat" w:cs="Sylfaen"/>
          <w:b/>
          <w:noProof/>
          <w:sz w:val="18"/>
          <w:szCs w:val="18"/>
        </w:rPr>
      </w:pPr>
      <w:r>
        <w:rPr>
          <w:rFonts w:ascii="GHEA Grapalat" w:hAnsi="GHEA Grapalat" w:cs="Sylfaen"/>
          <w:b/>
          <w:noProof/>
          <w:sz w:val="18"/>
          <w:szCs w:val="18"/>
        </w:rPr>
        <w:t>Ը</w:t>
      </w:r>
      <w:r w:rsidRPr="005854A7">
        <w:rPr>
          <w:rFonts w:ascii="GHEA Grapalat" w:hAnsi="GHEA Grapalat" w:cs="Sylfaen"/>
          <w:b/>
          <w:noProof/>
          <w:sz w:val="18"/>
          <w:szCs w:val="18"/>
        </w:rPr>
        <w:t xml:space="preserve">ստ անհրաժեշտության՝ ապրանքների գնումը և մատակարարումը իրականացնել անկախ կյանքի կենտրոնի </w:t>
      </w:r>
    </w:p>
    <w:p w:rsidR="005854A7" w:rsidRDefault="00D60B17" w:rsidP="005854A7">
      <w:pPr>
        <w:pStyle w:val="BodyTextIndent3"/>
        <w:numPr>
          <w:ilvl w:val="0"/>
          <w:numId w:val="36"/>
        </w:numPr>
        <w:spacing w:after="0"/>
        <w:ind w:left="0" w:firstLine="0"/>
        <w:contextualSpacing/>
        <w:jc w:val="both"/>
        <w:rPr>
          <w:rFonts w:ascii="GHEA Grapalat" w:hAnsi="GHEA Grapalat" w:cs="Sylfaen"/>
          <w:b/>
          <w:noProof/>
          <w:sz w:val="18"/>
          <w:szCs w:val="18"/>
        </w:rPr>
      </w:pPr>
      <w:r>
        <w:rPr>
          <w:rFonts w:ascii="GHEA Grapalat" w:hAnsi="GHEA Grapalat" w:cs="Sylfaen"/>
          <w:b/>
          <w:noProof/>
          <w:sz w:val="18"/>
          <w:szCs w:val="18"/>
        </w:rPr>
        <w:t>Ա</w:t>
      </w:r>
      <w:r w:rsidR="005854A7" w:rsidRPr="005854A7">
        <w:rPr>
          <w:rFonts w:ascii="GHEA Grapalat" w:hAnsi="GHEA Grapalat" w:cs="Sylfaen"/>
          <w:b/>
          <w:noProof/>
          <w:sz w:val="18"/>
          <w:szCs w:val="18"/>
        </w:rPr>
        <w:t>պրանքների մատակարարումը իրականացնել՝ դրանք նախապես համաձայնեցնելով պատվիրատուի հետ</w:t>
      </w:r>
    </w:p>
    <w:p w:rsidR="00D60B17" w:rsidRPr="005854A7" w:rsidRDefault="00D60B17" w:rsidP="00D60B17">
      <w:pPr>
        <w:pStyle w:val="BodyTextIndent3"/>
        <w:numPr>
          <w:ilvl w:val="0"/>
          <w:numId w:val="36"/>
        </w:numPr>
        <w:spacing w:after="0"/>
        <w:ind w:left="0" w:firstLine="0"/>
        <w:contextualSpacing/>
        <w:jc w:val="both"/>
        <w:rPr>
          <w:rFonts w:ascii="GHEA Grapalat" w:hAnsi="GHEA Grapalat" w:cs="Sylfaen"/>
          <w:b/>
          <w:noProof/>
          <w:sz w:val="18"/>
          <w:szCs w:val="18"/>
        </w:rPr>
      </w:pPr>
      <w:r>
        <w:rPr>
          <w:rFonts w:ascii="GHEA Grapalat" w:hAnsi="GHEA Grapalat" w:cs="Sylfaen"/>
          <w:b/>
          <w:noProof/>
          <w:sz w:val="18"/>
          <w:szCs w:val="18"/>
        </w:rPr>
        <w:t>Մ</w:t>
      </w:r>
      <w:r w:rsidRPr="00D60B17">
        <w:rPr>
          <w:rFonts w:ascii="GHEA Grapalat" w:hAnsi="GHEA Grapalat" w:cs="Sylfaen"/>
          <w:b/>
          <w:noProof/>
          <w:sz w:val="18"/>
          <w:szCs w:val="18"/>
        </w:rPr>
        <w:t>ատակարարված ապրանքների (եթե փաթեթավորված է, ապա փաթեթի) վրա պետք է նշագրված լինի նախագծային կոդը, նշագրումը պետք է այնպես արվի, որ դրանք համապատասխան սենյակներում կամ տարածքում տեղադրելուց հետո հնարավոր լինի հեռացնել առանց վնասելու ապրանքը</w:t>
      </w:r>
      <w:bookmarkEnd w:id="2"/>
    </w:p>
    <w:sectPr w:rsidR="00D60B17" w:rsidRPr="005854A7">
      <w:footerReference w:type="default" r:id="rId14"/>
      <w:pgSz w:w="12240" w:h="15840"/>
      <w:pgMar w:top="540" w:right="450" w:bottom="1080" w:left="1170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C8" w:rsidRDefault="008F5AC8">
      <w:pPr>
        <w:spacing w:after="0" w:line="240" w:lineRule="auto"/>
      </w:pPr>
      <w:r>
        <w:separator/>
      </w:r>
    </w:p>
  </w:endnote>
  <w:endnote w:type="continuationSeparator" w:id="0">
    <w:p w:rsidR="008F5AC8" w:rsidRDefault="008F5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EA6" w:rsidRDefault="008F5AC8">
    <w:pPr>
      <w:ind w:right="260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9354185</wp:posOffset>
                  </wp:positionV>
                </mc:Fallback>
              </mc:AlternateContent>
              <wp:extent cx="386715" cy="323215"/>
              <wp:effectExtent l="0" t="0" r="0" b="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715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F0EA6" w:rsidRDefault="008F5AC8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D60B17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27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45pt;height:25.45pt;z-index:25165875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" fillcolor="white [3201]" stroked="f" strokeweight=".5pt">
              <v:path arrowok="t"/>
              <v:textbox style="mso-fit-shape-to-text:t" inset="0,,0">
                <w:txbxContent>
                  <w:p w:rsidR="00CF0EA6" w:rsidRDefault="008F5AC8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D60B17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27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C8" w:rsidRDefault="008F5AC8">
      <w:pPr>
        <w:spacing w:after="0" w:line="240" w:lineRule="auto"/>
      </w:pPr>
      <w:r>
        <w:separator/>
      </w:r>
    </w:p>
  </w:footnote>
  <w:footnote w:type="continuationSeparator" w:id="0">
    <w:p w:rsidR="008F5AC8" w:rsidRDefault="008F5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4F3E"/>
    <w:multiLevelType w:val="multilevel"/>
    <w:tmpl w:val="99D2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73563"/>
    <w:multiLevelType w:val="multilevel"/>
    <w:tmpl w:val="8FA8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E112B"/>
    <w:multiLevelType w:val="hybridMultilevel"/>
    <w:tmpl w:val="7C2077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BE519D"/>
    <w:multiLevelType w:val="hybridMultilevel"/>
    <w:tmpl w:val="6D2EDD2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686F9D"/>
    <w:multiLevelType w:val="multilevel"/>
    <w:tmpl w:val="50240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F52A3"/>
    <w:multiLevelType w:val="hybridMultilevel"/>
    <w:tmpl w:val="DC7CF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B318A"/>
    <w:multiLevelType w:val="hybridMultilevel"/>
    <w:tmpl w:val="78409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17EB9"/>
    <w:multiLevelType w:val="multilevel"/>
    <w:tmpl w:val="8F0AE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C05408"/>
    <w:multiLevelType w:val="multilevel"/>
    <w:tmpl w:val="19EA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4759C5"/>
    <w:multiLevelType w:val="hybridMultilevel"/>
    <w:tmpl w:val="4A08A236"/>
    <w:lvl w:ilvl="0" w:tplc="35D4551A">
      <w:numFmt w:val="bullet"/>
      <w:lvlText w:val="-"/>
      <w:lvlJc w:val="left"/>
      <w:pPr>
        <w:ind w:left="795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1ABF4AEF"/>
    <w:multiLevelType w:val="hybridMultilevel"/>
    <w:tmpl w:val="2FDA4F22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B960946"/>
    <w:multiLevelType w:val="multilevel"/>
    <w:tmpl w:val="DDE0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EA789F"/>
    <w:multiLevelType w:val="hybridMultilevel"/>
    <w:tmpl w:val="592A3786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22B72E6"/>
    <w:multiLevelType w:val="multilevel"/>
    <w:tmpl w:val="6CCE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834B1C"/>
    <w:multiLevelType w:val="hybridMultilevel"/>
    <w:tmpl w:val="6AF6E69C"/>
    <w:lvl w:ilvl="0" w:tplc="877ADB5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37448D"/>
    <w:multiLevelType w:val="multilevel"/>
    <w:tmpl w:val="1C08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D52782"/>
    <w:multiLevelType w:val="multilevel"/>
    <w:tmpl w:val="AB46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34603F"/>
    <w:multiLevelType w:val="multilevel"/>
    <w:tmpl w:val="4D0E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C5577E"/>
    <w:multiLevelType w:val="multilevel"/>
    <w:tmpl w:val="A730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511C52"/>
    <w:multiLevelType w:val="multilevel"/>
    <w:tmpl w:val="50E03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350927"/>
    <w:multiLevelType w:val="hybridMultilevel"/>
    <w:tmpl w:val="40F09002"/>
    <w:lvl w:ilvl="0" w:tplc="1AC42CF6">
      <w:numFmt w:val="bullet"/>
      <w:lvlText w:val="-"/>
      <w:lvlJc w:val="left"/>
      <w:pPr>
        <w:ind w:left="436" w:hanging="360"/>
      </w:pPr>
      <w:rPr>
        <w:rFonts w:ascii="GHEA Grapalat" w:eastAsia="Calibri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>
    <w:nsid w:val="4A747B6B"/>
    <w:multiLevelType w:val="hybridMultilevel"/>
    <w:tmpl w:val="221E3CDC"/>
    <w:lvl w:ilvl="0" w:tplc="EE7EDE6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7E3AAB"/>
    <w:multiLevelType w:val="hybridMultilevel"/>
    <w:tmpl w:val="D6A89C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8C3706D"/>
    <w:multiLevelType w:val="hybridMultilevel"/>
    <w:tmpl w:val="B64E47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AF60EE"/>
    <w:multiLevelType w:val="hybridMultilevel"/>
    <w:tmpl w:val="C9CE79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8677ED7"/>
    <w:multiLevelType w:val="multilevel"/>
    <w:tmpl w:val="AEBE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F9F6413"/>
    <w:multiLevelType w:val="hybridMultilevel"/>
    <w:tmpl w:val="CEBCB18A"/>
    <w:lvl w:ilvl="0" w:tplc="605E6ED2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71A34C97"/>
    <w:multiLevelType w:val="hybridMultilevel"/>
    <w:tmpl w:val="3184FD8E"/>
    <w:lvl w:ilvl="0" w:tplc="77AEE04A">
      <w:numFmt w:val="bullet"/>
      <w:lvlText w:val="-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3F26814"/>
    <w:multiLevelType w:val="hybridMultilevel"/>
    <w:tmpl w:val="11509CEE"/>
    <w:lvl w:ilvl="0" w:tplc="042B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760E3DBC"/>
    <w:multiLevelType w:val="hybridMultilevel"/>
    <w:tmpl w:val="6D783398"/>
    <w:lvl w:ilvl="0" w:tplc="6AC0CE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5E4E06"/>
    <w:multiLevelType w:val="multilevel"/>
    <w:tmpl w:val="247A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345CAB"/>
    <w:multiLevelType w:val="hybridMultilevel"/>
    <w:tmpl w:val="CC6AA29E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>
    <w:nsid w:val="79237BBD"/>
    <w:multiLevelType w:val="multilevel"/>
    <w:tmpl w:val="B24C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7B190B"/>
    <w:multiLevelType w:val="multilevel"/>
    <w:tmpl w:val="F20A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5C55F9"/>
    <w:multiLevelType w:val="multilevel"/>
    <w:tmpl w:val="D7D2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4"/>
  </w:num>
  <w:num w:numId="3">
    <w:abstractNumId w:val="12"/>
  </w:num>
  <w:num w:numId="4">
    <w:abstractNumId w:val="10"/>
  </w:num>
  <w:num w:numId="5">
    <w:abstractNumId w:val="22"/>
  </w:num>
  <w:num w:numId="6">
    <w:abstractNumId w:val="29"/>
  </w:num>
  <w:num w:numId="7">
    <w:abstractNumId w:val="21"/>
  </w:num>
  <w:num w:numId="8">
    <w:abstractNumId w:val="27"/>
  </w:num>
  <w:num w:numId="9">
    <w:abstractNumId w:val="14"/>
  </w:num>
  <w:num w:numId="10">
    <w:abstractNumId w:val="28"/>
  </w:num>
  <w:num w:numId="11">
    <w:abstractNumId w:val="30"/>
  </w:num>
  <w:num w:numId="12">
    <w:abstractNumId w:val="2"/>
  </w:num>
  <w:num w:numId="13">
    <w:abstractNumId w:val="25"/>
  </w:num>
  <w:num w:numId="14">
    <w:abstractNumId w:val="3"/>
  </w:num>
  <w:num w:numId="15">
    <w:abstractNumId w:val="11"/>
  </w:num>
  <w:num w:numId="16">
    <w:abstractNumId w:val="0"/>
  </w:num>
  <w:num w:numId="17">
    <w:abstractNumId w:val="19"/>
  </w:num>
  <w:num w:numId="18">
    <w:abstractNumId w:val="17"/>
  </w:num>
  <w:num w:numId="19">
    <w:abstractNumId w:val="35"/>
  </w:num>
  <w:num w:numId="20">
    <w:abstractNumId w:val="7"/>
  </w:num>
  <w:num w:numId="21">
    <w:abstractNumId w:val="23"/>
  </w:num>
  <w:num w:numId="22">
    <w:abstractNumId w:val="18"/>
  </w:num>
  <w:num w:numId="23">
    <w:abstractNumId w:val="16"/>
  </w:num>
  <w:num w:numId="24">
    <w:abstractNumId w:val="34"/>
  </w:num>
  <w:num w:numId="25">
    <w:abstractNumId w:val="26"/>
  </w:num>
  <w:num w:numId="26">
    <w:abstractNumId w:val="33"/>
  </w:num>
  <w:num w:numId="27">
    <w:abstractNumId w:val="8"/>
  </w:num>
  <w:num w:numId="28">
    <w:abstractNumId w:val="4"/>
  </w:num>
  <w:num w:numId="29">
    <w:abstractNumId w:val="6"/>
  </w:num>
  <w:num w:numId="30">
    <w:abstractNumId w:val="5"/>
  </w:num>
  <w:num w:numId="31">
    <w:abstractNumId w:val="9"/>
  </w:num>
  <w:num w:numId="32">
    <w:abstractNumId w:val="31"/>
  </w:num>
  <w:num w:numId="33">
    <w:abstractNumId w:val="13"/>
  </w:num>
  <w:num w:numId="34">
    <w:abstractNumId w:val="1"/>
  </w:num>
  <w:num w:numId="35">
    <w:abstractNumId w:val="15"/>
  </w:num>
  <w:num w:numId="36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EA6"/>
    <w:rsid w:val="005854A7"/>
    <w:rsid w:val="008F5AC8"/>
    <w:rsid w:val="00CF0EA6"/>
    <w:rsid w:val="00D6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index heading" w:uiPriority="0"/>
    <w:lsdException w:name="caption" w:locked="1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Normal (Web)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locked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locked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locked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locked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locked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locked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pPr>
      <w:spacing w:after="0" w:line="240" w:lineRule="auto"/>
      <w:ind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Pr>
      <w:rFonts w:ascii="Times Armenian" w:eastAsia="Times New Roman" w:hAnsi="Times Armenian"/>
      <w:sz w:val="24"/>
      <w:szCs w:val="24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Times Armenian" w:eastAsia="Times New Roman" w:hAnsi="Times Armenian"/>
      <w:sz w:val="24"/>
      <w:szCs w:val="24"/>
    </w:rPr>
  </w:style>
  <w:style w:type="paragraph" w:styleId="BodyText2">
    <w:name w:val="Body Text 2"/>
    <w:basedOn w:val="Normal"/>
    <w:link w:val="BodyText2Char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,Знак Знак"/>
    <w:basedOn w:val="Normal"/>
    <w:link w:val="NormalWebChar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,Знак Знак Char"/>
    <w:link w:val="NormalWeb"/>
    <w:uiPriority w:val="99"/>
    <w:locked/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pP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DefaultParagraphFont"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Pr>
      <w:sz w:val="22"/>
      <w:szCs w:val="22"/>
    </w:rPr>
  </w:style>
  <w:style w:type="paragraph" w:customStyle="1" w:styleId="norm">
    <w:name w:val="norm"/>
    <w:basedOn w:val="Normal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/>
    </w:rPr>
  </w:style>
  <w:style w:type="paragraph" w:customStyle="1" w:styleId="Char">
    <w:name w:val="Char"/>
    <w:basedOn w:val="Normal"/>
    <w:semiHidden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uiPriority w:val="10"/>
    <w:qFormat/>
    <w:locked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Armenian" w:eastAsia="Times New Roman" w:hAnsi="Times Armenian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Pr>
      <w:b/>
      <w:bCs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CharChar22">
    <w:name w:val="Char Char2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Pr>
      <w:rFonts w:ascii="Times Armenian" w:hAnsi="Times Armenian"/>
      <w:b/>
      <w:lang w:val="hy-AM"/>
    </w:rPr>
  </w:style>
  <w:style w:type="character" w:customStyle="1" w:styleId="CharChar15">
    <w:name w:val="Char Char15"/>
    <w:rPr>
      <w:rFonts w:ascii="Times Armenian" w:hAnsi="Times Armenian"/>
      <w:i/>
      <w:lang w:val="nl-NL"/>
    </w:rPr>
  </w:style>
  <w:style w:type="character" w:customStyle="1" w:styleId="CharChar13">
    <w:name w:val="Char Char13"/>
    <w:rPr>
      <w:rFonts w:ascii="Arial Armenian" w:hAnsi="Arial Armenian"/>
      <w:lang w:val="en-US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Pr>
      <w:rFonts w:ascii="Times Armenian" w:eastAsia="Times New Roman" w:hAnsi="Times Armenian"/>
      <w:sz w:val="24"/>
      <w:lang w:eastAsia="ru-RU"/>
    </w:rPr>
  </w:style>
  <w:style w:type="table" w:styleId="TableGrid">
    <w:name w:val="Table Grid"/>
    <w:basedOn w:val="TableNormal"/>
    <w:uiPriority w:val="39"/>
    <w:locked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CharChar25">
    <w:name w:val="Char Char2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Emphasis">
    <w:name w:val="Emphasis"/>
    <w:uiPriority w:val="20"/>
    <w:qFormat/>
    <w:locked/>
    <w:rPr>
      <w:i/>
      <w:iCs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chtex">
    <w:name w:val="mechtex"/>
    <w:basedOn w:val="Normal"/>
    <w:link w:val="mechtexChar"/>
    <w:pPr>
      <w:spacing w:after="0" w:line="240" w:lineRule="auto"/>
      <w:jc w:val="center"/>
    </w:pPr>
    <w:rPr>
      <w:rFonts w:ascii="Arial Armenian" w:eastAsia="Times New Roman" w:hAnsi="Arial Armenian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locked/>
    <w:rPr>
      <w:rFonts w:ascii="Arial Armenian" w:eastAsia="Times New Roman" w:hAnsi="Arial Armenian"/>
      <w:sz w:val="22"/>
      <w:lang w:eastAsia="ru-RU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table" w:customStyle="1" w:styleId="PlainTable41">
    <w:name w:val="Plain Table 41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numPr>
        <w:ilvl w:val="1"/>
      </w:numPr>
      <w:spacing w:after="160"/>
      <w:contextualSpacing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 w:eastAsia="ru-RU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contextualSpacing/>
      <w:jc w:val="center"/>
    </w:pPr>
    <w:rPr>
      <w:rFonts w:ascii="Sylfaen" w:eastAsia="Times New Roman" w:hAnsi="Sylfaen"/>
      <w:i/>
      <w:iCs/>
      <w:color w:val="404040" w:themeColor="text1" w:themeTint="BF"/>
      <w:szCs w:val="24"/>
      <w:lang w:val="ru-RU" w:eastAsia="ru-RU"/>
    </w:rPr>
  </w:style>
  <w:style w:type="character" w:customStyle="1" w:styleId="QuoteChar">
    <w:name w:val="Quote Char"/>
    <w:basedOn w:val="DefaultParagraphFont"/>
    <w:link w:val="Quote"/>
    <w:uiPriority w:val="29"/>
    <w:rPr>
      <w:rFonts w:ascii="Sylfaen" w:eastAsia="Times New Roman" w:hAnsi="Sylfaen"/>
      <w:i/>
      <w:iCs/>
      <w:color w:val="404040" w:themeColor="text1" w:themeTint="BF"/>
      <w:sz w:val="22"/>
      <w:szCs w:val="24"/>
      <w:lang w:val="ru-RU" w:eastAsia="ru-RU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contextualSpacing/>
      <w:jc w:val="center"/>
    </w:pPr>
    <w:rPr>
      <w:rFonts w:ascii="Sylfaen" w:eastAsia="Times New Roman" w:hAnsi="Sylfaen"/>
      <w:i/>
      <w:iCs/>
      <w:color w:val="365F91" w:themeColor="accent1" w:themeShade="BF"/>
      <w:szCs w:val="24"/>
      <w:lang w:val="ru-RU" w:eastAsia="ru-RU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Sylfaen" w:eastAsia="Times New Roman" w:hAnsi="Sylfaen"/>
      <w:i/>
      <w:iCs/>
      <w:color w:val="365F91" w:themeColor="accent1" w:themeShade="BF"/>
      <w:sz w:val="22"/>
      <w:szCs w:val="24"/>
      <w:lang w:val="ru-RU" w:eastAsia="ru-RU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4">
    <w:name w:val="xl84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4">
    <w:name w:val="xl94"/>
    <w:basedOn w:val="Normal"/>
    <w:pPr>
      <w:pBdr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97">
    <w:name w:val="xl97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8">
    <w:name w:val="xl98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9">
    <w:name w:val="xl99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0">
    <w:name w:val="xl10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1">
    <w:name w:val="xl10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3">
    <w:name w:val="xl103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4">
    <w:name w:val="xl10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6">
    <w:name w:val="xl106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7">
    <w:name w:val="xl10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1">
    <w:name w:val="xl11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113">
    <w:name w:val="xl11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114">
    <w:name w:val="xl11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18">
    <w:name w:val="xl118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9">
    <w:name w:val="xl119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0">
    <w:name w:val="xl12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FFFF"/>
      <w:sz w:val="18"/>
      <w:szCs w:val="18"/>
    </w:rPr>
  </w:style>
  <w:style w:type="paragraph" w:customStyle="1" w:styleId="xl121">
    <w:name w:val="xl121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2">
    <w:name w:val="xl1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3">
    <w:name w:val="xl1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5">
    <w:name w:val="xl1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6">
    <w:name w:val="xl126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7">
    <w:name w:val="xl127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8">
    <w:name w:val="xl1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9">
    <w:name w:val="xl1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0">
    <w:name w:val="xl1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1">
    <w:name w:val="xl13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2">
    <w:name w:val="xl132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Normal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5">
    <w:name w:val="xl13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6">
    <w:name w:val="xl1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563C1"/>
      <w:sz w:val="24"/>
      <w:szCs w:val="24"/>
      <w:u w:val="single"/>
    </w:rPr>
  </w:style>
  <w:style w:type="paragraph" w:customStyle="1" w:styleId="xl137">
    <w:name w:val="xl137"/>
    <w:basedOn w:val="Normal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8">
    <w:name w:val="xl1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9">
    <w:name w:val="xl13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0">
    <w:name w:val="xl140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1">
    <w:name w:val="xl14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3">
    <w:name w:val="xl1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44">
    <w:name w:val="xl144"/>
    <w:basedOn w:val="Normal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45">
    <w:name w:val="xl14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pdq2pgselectionanchorcontainer">
    <w:name w:val="pdq2pg_selectionanchorcontainer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index heading" w:uiPriority="0"/>
    <w:lsdException w:name="caption" w:locked="1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Normal (Web)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locked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locked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locked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locked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locked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locked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pPr>
      <w:spacing w:after="0" w:line="240" w:lineRule="auto"/>
      <w:ind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Pr>
      <w:rFonts w:ascii="Times Armenian" w:eastAsia="Times New Roman" w:hAnsi="Times Armenian"/>
      <w:sz w:val="24"/>
      <w:szCs w:val="24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Times Armenian" w:eastAsia="Times New Roman" w:hAnsi="Times Armenian"/>
      <w:sz w:val="24"/>
      <w:szCs w:val="24"/>
    </w:rPr>
  </w:style>
  <w:style w:type="paragraph" w:styleId="BodyText2">
    <w:name w:val="Body Text 2"/>
    <w:basedOn w:val="Normal"/>
    <w:link w:val="BodyText2Char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,Знак Знак"/>
    <w:basedOn w:val="Normal"/>
    <w:link w:val="NormalWebChar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,Знак Знак Char"/>
    <w:link w:val="NormalWeb"/>
    <w:uiPriority w:val="99"/>
    <w:locked/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pP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DefaultParagraphFont"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Pr>
      <w:sz w:val="22"/>
      <w:szCs w:val="22"/>
    </w:rPr>
  </w:style>
  <w:style w:type="paragraph" w:customStyle="1" w:styleId="norm">
    <w:name w:val="norm"/>
    <w:basedOn w:val="Normal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/>
    </w:rPr>
  </w:style>
  <w:style w:type="paragraph" w:customStyle="1" w:styleId="Char">
    <w:name w:val="Char"/>
    <w:basedOn w:val="Normal"/>
    <w:semiHidden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uiPriority w:val="10"/>
    <w:qFormat/>
    <w:locked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Armenian" w:eastAsia="Times New Roman" w:hAnsi="Times Armenian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Pr>
      <w:b/>
      <w:bCs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CharChar22">
    <w:name w:val="Char Char2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Pr>
      <w:rFonts w:ascii="Times Armenian" w:hAnsi="Times Armenian"/>
      <w:b/>
      <w:lang w:val="hy-AM"/>
    </w:rPr>
  </w:style>
  <w:style w:type="character" w:customStyle="1" w:styleId="CharChar15">
    <w:name w:val="Char Char15"/>
    <w:rPr>
      <w:rFonts w:ascii="Times Armenian" w:hAnsi="Times Armenian"/>
      <w:i/>
      <w:lang w:val="nl-NL"/>
    </w:rPr>
  </w:style>
  <w:style w:type="character" w:customStyle="1" w:styleId="CharChar13">
    <w:name w:val="Char Char13"/>
    <w:rPr>
      <w:rFonts w:ascii="Arial Armenian" w:hAnsi="Arial Armenian"/>
      <w:lang w:val="en-US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Pr>
      <w:rFonts w:ascii="Times Armenian" w:eastAsia="Times New Roman" w:hAnsi="Times Armenian"/>
      <w:sz w:val="24"/>
      <w:lang w:eastAsia="ru-RU"/>
    </w:rPr>
  </w:style>
  <w:style w:type="table" w:styleId="TableGrid">
    <w:name w:val="Table Grid"/>
    <w:basedOn w:val="TableNormal"/>
    <w:uiPriority w:val="39"/>
    <w:locked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CharChar25">
    <w:name w:val="Char Char2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Emphasis">
    <w:name w:val="Emphasis"/>
    <w:uiPriority w:val="20"/>
    <w:qFormat/>
    <w:locked/>
    <w:rPr>
      <w:i/>
      <w:iCs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chtex">
    <w:name w:val="mechtex"/>
    <w:basedOn w:val="Normal"/>
    <w:link w:val="mechtexChar"/>
    <w:pPr>
      <w:spacing w:after="0" w:line="240" w:lineRule="auto"/>
      <w:jc w:val="center"/>
    </w:pPr>
    <w:rPr>
      <w:rFonts w:ascii="Arial Armenian" w:eastAsia="Times New Roman" w:hAnsi="Arial Armenian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locked/>
    <w:rPr>
      <w:rFonts w:ascii="Arial Armenian" w:eastAsia="Times New Roman" w:hAnsi="Arial Armenian"/>
      <w:sz w:val="22"/>
      <w:lang w:eastAsia="ru-RU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table" w:customStyle="1" w:styleId="PlainTable41">
    <w:name w:val="Plain Table 41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numPr>
        <w:ilvl w:val="1"/>
      </w:numPr>
      <w:spacing w:after="160"/>
      <w:contextualSpacing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 w:eastAsia="ru-RU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contextualSpacing/>
      <w:jc w:val="center"/>
    </w:pPr>
    <w:rPr>
      <w:rFonts w:ascii="Sylfaen" w:eastAsia="Times New Roman" w:hAnsi="Sylfaen"/>
      <w:i/>
      <w:iCs/>
      <w:color w:val="404040" w:themeColor="text1" w:themeTint="BF"/>
      <w:szCs w:val="24"/>
      <w:lang w:val="ru-RU" w:eastAsia="ru-RU"/>
    </w:rPr>
  </w:style>
  <w:style w:type="character" w:customStyle="1" w:styleId="QuoteChar">
    <w:name w:val="Quote Char"/>
    <w:basedOn w:val="DefaultParagraphFont"/>
    <w:link w:val="Quote"/>
    <w:uiPriority w:val="29"/>
    <w:rPr>
      <w:rFonts w:ascii="Sylfaen" w:eastAsia="Times New Roman" w:hAnsi="Sylfaen"/>
      <w:i/>
      <w:iCs/>
      <w:color w:val="404040" w:themeColor="text1" w:themeTint="BF"/>
      <w:sz w:val="22"/>
      <w:szCs w:val="24"/>
      <w:lang w:val="ru-RU" w:eastAsia="ru-RU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contextualSpacing/>
      <w:jc w:val="center"/>
    </w:pPr>
    <w:rPr>
      <w:rFonts w:ascii="Sylfaen" w:eastAsia="Times New Roman" w:hAnsi="Sylfaen"/>
      <w:i/>
      <w:iCs/>
      <w:color w:val="365F91" w:themeColor="accent1" w:themeShade="BF"/>
      <w:szCs w:val="24"/>
      <w:lang w:val="ru-RU" w:eastAsia="ru-RU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Sylfaen" w:eastAsia="Times New Roman" w:hAnsi="Sylfaen"/>
      <w:i/>
      <w:iCs/>
      <w:color w:val="365F91" w:themeColor="accent1" w:themeShade="BF"/>
      <w:sz w:val="22"/>
      <w:szCs w:val="24"/>
      <w:lang w:val="ru-RU" w:eastAsia="ru-RU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4">
    <w:name w:val="xl84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4">
    <w:name w:val="xl94"/>
    <w:basedOn w:val="Normal"/>
    <w:pPr>
      <w:pBdr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97">
    <w:name w:val="xl97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8">
    <w:name w:val="xl98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9">
    <w:name w:val="xl99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0">
    <w:name w:val="xl10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1">
    <w:name w:val="xl10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3">
    <w:name w:val="xl103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4">
    <w:name w:val="xl10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6">
    <w:name w:val="xl106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7">
    <w:name w:val="xl10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1">
    <w:name w:val="xl11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113">
    <w:name w:val="xl11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114">
    <w:name w:val="xl11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18">
    <w:name w:val="xl118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9">
    <w:name w:val="xl119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0">
    <w:name w:val="xl12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FFFF"/>
      <w:sz w:val="18"/>
      <w:szCs w:val="18"/>
    </w:rPr>
  </w:style>
  <w:style w:type="paragraph" w:customStyle="1" w:styleId="xl121">
    <w:name w:val="xl121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2">
    <w:name w:val="xl1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3">
    <w:name w:val="xl1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5">
    <w:name w:val="xl1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6">
    <w:name w:val="xl126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7">
    <w:name w:val="xl127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8">
    <w:name w:val="xl1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9">
    <w:name w:val="xl1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0">
    <w:name w:val="xl1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1">
    <w:name w:val="xl13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2">
    <w:name w:val="xl132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Normal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5">
    <w:name w:val="xl13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6">
    <w:name w:val="xl1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563C1"/>
      <w:sz w:val="24"/>
      <w:szCs w:val="24"/>
      <w:u w:val="single"/>
    </w:rPr>
  </w:style>
  <w:style w:type="paragraph" w:customStyle="1" w:styleId="xl137">
    <w:name w:val="xl137"/>
    <w:basedOn w:val="Normal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8">
    <w:name w:val="xl1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9">
    <w:name w:val="xl13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0">
    <w:name w:val="xl140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1">
    <w:name w:val="xl14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3">
    <w:name w:val="xl1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44">
    <w:name w:val="xl144"/>
    <w:basedOn w:val="Normal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45">
    <w:name w:val="xl14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pdq2pgselectionanchorcontainer">
    <w:name w:val="pdq2pg_selectionanchorcontainer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5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20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0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0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0AB4C-71DF-4A0B-A9D3-20674EB0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6197</Words>
  <Characters>35324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41439</CharactersWithSpaces>
  <SharedDoc>false</SharedDoc>
  <HLinks>
    <vt:vector size="18" baseType="variant">
      <vt:variant>
        <vt:i4>131140</vt:i4>
      </vt:variant>
      <vt:variant>
        <vt:i4>6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  <vt:variant>
        <vt:i4>131140</vt:i4>
      </vt:variant>
      <vt:variant>
        <vt:i4>3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  <vt:variant>
        <vt:i4>131140</vt:i4>
      </vt:variant>
      <vt:variant>
        <vt:i4>0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</dc:creator>
  <cp:keywords>https:/mul2-mss.gov.am/tasks/2149191/oneclick?token=9cb69ab687da43da511e3a369e1aa4c7</cp:keywords>
  <dc:description/>
  <cp:lastModifiedBy>MLSA</cp:lastModifiedBy>
  <cp:revision>54</cp:revision>
  <cp:lastPrinted>2025-04-21T12:26:00Z</cp:lastPrinted>
  <dcterms:created xsi:type="dcterms:W3CDTF">2026-07-14T08:01:00Z</dcterms:created>
  <dcterms:modified xsi:type="dcterms:W3CDTF">2026-08-12T12:50:00Z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c4c350e344a6dd3efa192b328dc8154af5a77e6af3cc9930a49cc352af3f3bf2</vt:lpwstr>
  </property>
</Properties>
</file>